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深圳市福田区妇幼保健院预防艾滋病安全套采购项目</w:t>
            </w:r>
            <w:r>
              <w:rPr>
                <w:rFonts w:hint="eastAsia" w:cs="宋体" w:asciiTheme="minorEastAsia" w:hAnsiTheme="minorEastAsia"/>
                <w:kern w:val="0"/>
                <w:sz w:val="21"/>
                <w:szCs w:val="21"/>
                <w:lang w:eastAsia="zh-CN"/>
              </w:rPr>
              <w:t>（二次</w:t>
            </w:r>
            <w:bookmarkStart w:id="0" w:name="_GoBack"/>
            <w:bookmarkEnd w:id="0"/>
            <w:r>
              <w:rPr>
                <w:rFonts w:hint="eastAsia" w:cs="宋体" w:asciiTheme="minorEastAsia" w:hAnsiTheme="minorEastAsia"/>
                <w:kern w:val="0"/>
                <w:sz w:val="21"/>
                <w:szCs w:val="21"/>
                <w:lang w:eastAsia="zh-CN"/>
              </w:rPr>
              <w:t>）</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default" w:cs="宋体" w:asciiTheme="minorEastAsia" w:hAnsiTheme="minorEastAsia" w:eastAsiaTheme="minorEastAsia"/>
                <w:kern w:val="0"/>
                <w:sz w:val="21"/>
                <w:szCs w:val="21"/>
                <w:lang w:val="en-US" w:eastAsia="zh-CN"/>
              </w:rPr>
              <w:t>LCZB-22</w:t>
            </w:r>
            <w:r>
              <w:rPr>
                <w:rFonts w:hint="eastAsia" w:cs="宋体" w:asciiTheme="minorEastAsia" w:hAnsiTheme="minorEastAsia"/>
                <w:kern w:val="0"/>
                <w:sz w:val="21"/>
                <w:szCs w:val="21"/>
                <w:lang w:val="en-US" w:eastAsia="zh-CN"/>
              </w:rPr>
              <w:t>098</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91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5、本项目不接受供应商选用进口产品参与投标（进口产品是指通过中国海关报关验收进入中国境内且产自境外的产品）。</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10、投标人必须提供所投安全套的《医疗器械产品注册（备案）证》；（证明文件：须提供《医疗器械产品注册（备案）证》证书扫描件）。</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11、投标人必须在深圳医用耗材阳光交易和监管平台内备案，且所投“1.安全套”需在深圳医用耗材阳光交易和监管平台内挂网；（证明文件：1、须提供投标人在市平台备案信息截图；2、所投产品在市平台挂网信息截图（如果所投产品处于平台“正在办理”状态，要求提供必须能在市平台完成挂网并能进行点击成交的承诺函（格式自拟））。</w:t>
            </w:r>
          </w:p>
          <w:p>
            <w:pPr>
              <w:tabs>
                <w:tab w:val="left" w:pos="426"/>
              </w:tabs>
              <w:ind w:firstLine="363" w:firstLineChars="202"/>
              <w:rPr>
                <w:rFonts w:cs="宋体" w:asciiTheme="minorEastAsia" w:hAnsiTheme="minorEastAsia"/>
                <w:kern w:val="0"/>
                <w:sz w:val="15"/>
                <w:szCs w:val="15"/>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0D6F021C"/>
    <w:rsid w:val="122A46C7"/>
    <w:rsid w:val="12306290"/>
    <w:rsid w:val="15C06FF2"/>
    <w:rsid w:val="1687464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C267CD2"/>
    <w:rsid w:val="3D534028"/>
    <w:rsid w:val="40CD3355"/>
    <w:rsid w:val="43BF0FF7"/>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4B116A6"/>
    <w:rsid w:val="755754CF"/>
    <w:rsid w:val="7655589E"/>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1107</Words>
  <Characters>1143</Characters>
  <Lines>4</Lines>
  <Paragraphs>1</Paragraphs>
  <TotalTime>0</TotalTime>
  <ScaleCrop>false</ScaleCrop>
  <LinksUpToDate>false</LinksUpToDate>
  <CharactersWithSpaces>1165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2022-09-15T06:55:18Z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7F54E879388F474691214EBC46DCE000</vt:lpwstr>
  </property>
</Properties>
</file>