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宋体" w:hAnsi="宋体"/>
          <w:b/>
          <w:bCs/>
          <w:color w:val="auto"/>
          <w:sz w:val="32"/>
          <w:szCs w:val="32"/>
          <w:highlight w:val="none"/>
          <w:lang w:eastAsia="zh-CN"/>
        </w:rPr>
      </w:pPr>
      <w:bookmarkStart w:id="2" w:name="_GoBack"/>
      <w:r>
        <w:rPr>
          <w:rFonts w:hint="eastAsia" w:ascii="宋体" w:hAnsi="宋体"/>
          <w:b/>
          <w:bCs/>
          <w:color w:val="auto"/>
          <w:sz w:val="32"/>
          <w:szCs w:val="32"/>
          <w:highlight w:val="none"/>
          <w:lang w:eastAsia="zh-CN"/>
        </w:rPr>
        <w:t>揭阳市区榕江北河2号泵站过江备用管应急工程</w:t>
      </w: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施工</w:t>
      </w:r>
      <w:r>
        <w:rPr>
          <w:rFonts w:ascii="宋体" w:hAnsi="宋体"/>
          <w:b/>
          <w:bCs/>
          <w:color w:val="auto"/>
          <w:sz w:val="32"/>
          <w:szCs w:val="32"/>
          <w:highlight w:val="none"/>
        </w:rPr>
        <w:t>招标公告</w:t>
      </w:r>
    </w:p>
    <w:bookmarkEnd w:id="2"/>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color w:val="auto"/>
          <w:sz w:val="24"/>
          <w:highlight w:val="none"/>
        </w:rPr>
      </w:pPr>
    </w:p>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 招标条件</w:t>
      </w:r>
    </w:p>
    <w:p>
      <w:pPr>
        <w:keepNext w:val="0"/>
        <w:keepLines w:val="0"/>
        <w:pageBreakBefore w:val="0"/>
        <w:widowControl w:val="0"/>
        <w:kinsoku/>
        <w:wordWrap/>
        <w:overflowPunct/>
        <w:topLinePunct w:val="0"/>
        <w:autoSpaceDE w:val="0"/>
        <w:autoSpaceDN w:val="0"/>
        <w:bidi w:val="0"/>
        <w:adjustRightInd w:val="0"/>
        <w:snapToGrid/>
        <w:spacing w:before="63" w:beforeLines="2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本招标项目</w:t>
      </w:r>
      <w:r>
        <w:rPr>
          <w:rFonts w:hint="eastAsia" w:ascii="宋体" w:hAnsi="宋体" w:cs="宋体"/>
          <w:color w:val="auto"/>
          <w:szCs w:val="21"/>
          <w:highlight w:val="none"/>
          <w:lang w:eastAsia="zh-CN"/>
        </w:rPr>
        <w:t>揭阳市区榕江北河2号泵站过江备用管应急工程</w:t>
      </w:r>
      <w:r>
        <w:rPr>
          <w:rFonts w:hint="eastAsia" w:ascii="宋体" w:hAnsi="宋体" w:cs="宋体"/>
          <w:color w:val="auto"/>
          <w:szCs w:val="21"/>
          <w:highlight w:val="none"/>
        </w:rPr>
        <w:t>已由</w:t>
      </w:r>
      <w:r>
        <w:rPr>
          <w:rFonts w:hint="eastAsia" w:ascii="宋体" w:hAnsi="宋体" w:cs="宋体"/>
          <w:color w:val="auto"/>
          <w:szCs w:val="21"/>
          <w:highlight w:val="none"/>
          <w:lang w:eastAsia="zh-CN"/>
        </w:rPr>
        <w:t>揭阳市榕城区发展和改革局</w:t>
      </w:r>
      <w:r>
        <w:rPr>
          <w:rFonts w:hint="eastAsia" w:ascii="宋体" w:hAnsi="宋体" w:cs="宋体"/>
          <w:color w:val="auto"/>
          <w:szCs w:val="21"/>
          <w:highlight w:val="none"/>
        </w:rPr>
        <w:t>以</w:t>
      </w:r>
      <w:r>
        <w:rPr>
          <w:rFonts w:hint="eastAsia" w:ascii="宋体" w:hAnsi="宋体" w:cs="宋体"/>
          <w:color w:val="auto"/>
          <w:szCs w:val="21"/>
          <w:highlight w:val="none"/>
          <w:lang w:eastAsia="zh-CN"/>
        </w:rPr>
        <w:t>揭榕发改[202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lang w:eastAsia="zh-CN"/>
        </w:rPr>
        <w:t>号</w:t>
      </w:r>
      <w:r>
        <w:rPr>
          <w:rFonts w:hint="eastAsia" w:ascii="宋体" w:hAnsi="宋体" w:cs="宋体"/>
          <w:color w:val="auto"/>
          <w:szCs w:val="21"/>
          <w:highlight w:val="none"/>
        </w:rPr>
        <w:t>批准建设</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核准招标，招标人为揭阳市榕城区住房和城乡建设局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建设资金由</w:t>
      </w:r>
      <w:r>
        <w:rPr>
          <w:rFonts w:hint="eastAsia" w:ascii="宋体" w:hAnsi="宋体" w:eastAsia="宋体" w:cs="宋体"/>
          <w:color w:val="auto"/>
          <w:szCs w:val="21"/>
          <w:highlight w:val="none"/>
          <w:lang w:eastAsia="zh-CN"/>
        </w:rPr>
        <w:t>财政资金安排解决</w:t>
      </w:r>
      <w:r>
        <w:rPr>
          <w:rFonts w:hint="eastAsia" w:ascii="宋体" w:hAnsi="宋体" w:eastAsia="宋体" w:cs="宋体"/>
          <w:color w:val="auto"/>
          <w:szCs w:val="21"/>
          <w:highlight w:val="none"/>
        </w:rPr>
        <w:t>。本项目己具备招标条件，现对该项目的施工进行国内公开招标。</w:t>
      </w:r>
    </w:p>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项目概况及招标范围</w:t>
      </w:r>
    </w:p>
    <w:p>
      <w:pPr>
        <w:keepNext w:val="0"/>
        <w:keepLines w:val="0"/>
        <w:pageBreakBefore w:val="0"/>
        <w:widowControl w:val="0"/>
        <w:kinsoku/>
        <w:wordWrap/>
        <w:overflowPunct/>
        <w:topLinePunct w:val="0"/>
        <w:autoSpaceDE w:val="0"/>
        <w:autoSpaceDN w:val="0"/>
        <w:bidi w:val="0"/>
        <w:adjustRightInd w:val="0"/>
        <w:snapToGrid/>
        <w:spacing w:before="63" w:beforeLines="20" w:line="360" w:lineRule="exact"/>
        <w:ind w:firstLine="420" w:firstLineChars="200"/>
        <w:jc w:val="left"/>
        <w:textAlignment w:val="auto"/>
        <w:rPr>
          <w:rFonts w:hint="eastAsia" w:ascii="宋体" w:hAnsi="宋体" w:cs="宋体"/>
          <w:color w:val="auto"/>
          <w:szCs w:val="21"/>
          <w:highlight w:val="none"/>
          <w:lang w:val="en-US" w:eastAsia="zh-CN"/>
        </w:rPr>
      </w:pPr>
      <w:bookmarkStart w:id="0" w:name="OLE_LINK15"/>
      <w:bookmarkStart w:id="1" w:name="OLE_LINK6"/>
      <w:r>
        <w:rPr>
          <w:rFonts w:hint="eastAsia" w:ascii="宋体" w:hAnsi="宋体" w:cs="宋体"/>
          <w:color w:val="auto"/>
          <w:szCs w:val="21"/>
          <w:highlight w:val="none"/>
        </w:rPr>
        <w:t>项目概况：</w:t>
      </w:r>
      <w:r>
        <w:rPr>
          <w:rFonts w:hint="eastAsia" w:ascii="宋体" w:hAnsi="宋体" w:cs="宋体"/>
          <w:color w:val="auto"/>
          <w:szCs w:val="21"/>
          <w:highlight w:val="none"/>
          <w:lang w:val="en-US" w:eastAsia="zh-CN"/>
        </w:rPr>
        <w:t>工程位于</w:t>
      </w:r>
      <w:r>
        <w:rPr>
          <w:rFonts w:hint="eastAsia" w:ascii="宋体" w:hAnsi="宋体" w:cs="宋体"/>
          <w:color w:val="auto"/>
          <w:szCs w:val="21"/>
          <w:highlight w:val="none"/>
          <w:lang w:eastAsia="zh-CN"/>
        </w:rPr>
        <w:t>揭阳市榕城区</w:t>
      </w:r>
      <w:r>
        <w:rPr>
          <w:rFonts w:hint="eastAsia" w:ascii="宋体" w:hAnsi="宋体" w:cs="宋体"/>
          <w:color w:val="auto"/>
          <w:szCs w:val="21"/>
          <w:highlight w:val="none"/>
          <w:lang w:val="en-US" w:eastAsia="zh-CN"/>
        </w:rPr>
        <w:t>，工程内容主要包括：</w:t>
      </w:r>
      <w:r>
        <w:rPr>
          <w:rFonts w:hint="eastAsia" w:ascii="宋体" w:hAnsi="宋体" w:cs="宋体"/>
          <w:color w:val="auto"/>
          <w:szCs w:val="21"/>
          <w:highlight w:val="none"/>
          <w:lang w:eastAsia="zh-CN"/>
        </w:rPr>
        <w:t>新建DN1000顶管过路管62米，内套DN800压力污水管道接驳旧有过江压力管，在顶管井内新增一座消能井及闸阀，接入揭阳大道</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lang w:eastAsia="zh-CN"/>
        </w:rPr>
        <w:t>1200压力管预留接入口，DN800压力污水管道总长度为138米。</w:t>
      </w:r>
      <w:r>
        <w:rPr>
          <w:rFonts w:hint="eastAsia" w:ascii="宋体" w:hAnsi="宋体" w:cs="宋体"/>
          <w:color w:val="auto"/>
          <w:szCs w:val="21"/>
          <w:highlight w:val="none"/>
        </w:rPr>
        <w:t>工程招标控制价（最高投标限价）为</w:t>
      </w:r>
      <w:r>
        <w:rPr>
          <w:rFonts w:hint="eastAsia" w:ascii="宋体" w:hAnsi="宋体" w:cs="宋体"/>
          <w:color w:val="auto"/>
          <w:szCs w:val="21"/>
          <w:highlight w:val="none"/>
          <w:lang w:eastAsia="zh-CN"/>
        </w:rPr>
        <w:t>6282383.29</w:t>
      </w:r>
      <w:r>
        <w:rPr>
          <w:rFonts w:hint="eastAsia" w:ascii="宋体" w:hAnsi="宋体" w:cs="宋体"/>
          <w:color w:val="auto"/>
          <w:szCs w:val="21"/>
          <w:highlight w:val="none"/>
        </w:rPr>
        <w:t>元。施工计划工期为</w:t>
      </w:r>
      <w:r>
        <w:rPr>
          <w:rFonts w:hint="eastAsia" w:ascii="宋体" w:hAnsi="宋体" w:cs="宋体"/>
          <w:color w:val="auto"/>
          <w:szCs w:val="21"/>
          <w:highlight w:val="none"/>
          <w:lang w:eastAsia="zh-CN"/>
        </w:rPr>
        <w:t>90个日历天</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before="63" w:beforeLines="20" w:line="36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招标范围：</w:t>
      </w:r>
      <w:r>
        <w:rPr>
          <w:rFonts w:hint="eastAsia" w:ascii="宋体" w:hAnsi="宋体" w:cs="宋体"/>
          <w:color w:val="auto"/>
          <w:szCs w:val="21"/>
          <w:highlight w:val="none"/>
          <w:lang w:eastAsia="zh-CN"/>
        </w:rPr>
        <w:t>揭阳市区榕江北河2号泵站过江备用管应急工程</w:t>
      </w:r>
      <w:r>
        <w:rPr>
          <w:rFonts w:hint="eastAsia" w:ascii="宋体" w:hAnsi="宋体" w:cs="宋体"/>
          <w:color w:val="auto"/>
          <w:szCs w:val="21"/>
          <w:highlight w:val="none"/>
        </w:rPr>
        <w:t>施工，具体详见招标人提供的工程施工图、《招标控制价》</w:t>
      </w:r>
      <w:r>
        <w:rPr>
          <w:rFonts w:hint="eastAsia" w:ascii="宋体" w:hAnsi="宋体" w:eastAsia="宋体" w:cs="宋体"/>
          <w:color w:val="auto"/>
          <w:szCs w:val="21"/>
          <w:highlight w:val="none"/>
          <w:lang w:val="en-US" w:eastAsia="zh-CN"/>
        </w:rPr>
        <w:t>等有关资料</w:t>
      </w:r>
      <w:r>
        <w:rPr>
          <w:rFonts w:hint="eastAsia" w:ascii="宋体" w:hAnsi="宋体" w:cs="宋体"/>
          <w:color w:val="auto"/>
          <w:szCs w:val="21"/>
          <w:highlight w:val="none"/>
        </w:rPr>
        <w:t>内容。</w:t>
      </w:r>
    </w:p>
    <w:bookmarkEnd w:id="0"/>
    <w:bookmarkEnd w:id="1"/>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投标申请人资格要求</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本次招标要求投标人须具备建设行政主管部门颁发的</w:t>
      </w:r>
      <w:r>
        <w:rPr>
          <w:rFonts w:hint="eastAsia" w:ascii="宋体" w:hAnsi="宋体" w:eastAsia="宋体" w:cs="宋体"/>
          <w:color w:val="auto"/>
          <w:szCs w:val="21"/>
          <w:highlight w:val="none"/>
          <w:lang w:val="en-US" w:eastAsia="zh-CN"/>
        </w:rPr>
        <w:t>市政公用工程</w:t>
      </w:r>
      <w:r>
        <w:rPr>
          <w:rFonts w:hint="eastAsia" w:ascii="宋体" w:hAnsi="宋体" w:eastAsia="宋体" w:cs="宋体"/>
          <w:color w:val="auto"/>
          <w:szCs w:val="21"/>
          <w:highlight w:val="none"/>
        </w:rPr>
        <w:t>施工总承包三级以上（含三级）资质</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并获得安全生产许可证的独立法人。</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3.2 拟派项目</w:t>
      </w:r>
      <w:r>
        <w:rPr>
          <w:rFonts w:hint="eastAsia" w:ascii="宋体" w:hAnsi="宋体" w:eastAsia="宋体" w:cs="宋体"/>
          <w:color w:val="auto"/>
          <w:sz w:val="21"/>
          <w:szCs w:val="21"/>
          <w:highlight w:val="none"/>
        </w:rPr>
        <w:t>经理须具备</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建造师执业资格（</w:t>
      </w:r>
      <w:r>
        <w:rPr>
          <w:rFonts w:hint="eastAsia" w:ascii="宋体" w:hAnsi="宋体" w:eastAsia="宋体" w:cs="宋体"/>
          <w:color w:val="auto"/>
          <w:sz w:val="21"/>
          <w:szCs w:val="21"/>
          <w:highlight w:val="none"/>
          <w:lang w:val="en-US" w:eastAsia="zh-CN"/>
        </w:rPr>
        <w:t>市政公用工程</w:t>
      </w:r>
      <w:r>
        <w:rPr>
          <w:rFonts w:hint="eastAsia" w:ascii="宋体" w:hAnsi="宋体" w:eastAsia="宋体" w:cs="宋体"/>
          <w:color w:val="auto"/>
          <w:sz w:val="21"/>
          <w:szCs w:val="21"/>
          <w:highlight w:val="none"/>
        </w:rPr>
        <w:t>专业，级别为二级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，省外为一级）</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拟派项目</w:t>
      </w:r>
      <w:r>
        <w:rPr>
          <w:rFonts w:hint="eastAsia" w:ascii="宋体" w:hAnsi="宋体" w:eastAsia="宋体" w:cs="宋体"/>
          <w:color w:val="auto"/>
          <w:szCs w:val="21"/>
          <w:highlight w:val="none"/>
        </w:rPr>
        <w:t>技术负责人需具备</w:t>
      </w:r>
      <w:r>
        <w:rPr>
          <w:rFonts w:hint="eastAsia" w:ascii="宋体" w:hAnsi="宋体" w:eastAsia="宋体" w:cs="宋体"/>
          <w:color w:val="auto"/>
          <w:szCs w:val="21"/>
          <w:highlight w:val="none"/>
          <w:lang w:val="en-US" w:eastAsia="zh-CN"/>
        </w:rPr>
        <w:t>市政工程类</w:t>
      </w:r>
      <w:r>
        <w:rPr>
          <w:rFonts w:hint="eastAsia" w:ascii="宋体" w:hAnsi="宋体" w:eastAsia="宋体" w:cs="宋体"/>
          <w:color w:val="auto"/>
          <w:szCs w:val="21"/>
          <w:highlight w:val="none"/>
        </w:rPr>
        <w:t>工程师</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val="en-US" w:eastAsia="zh-CN"/>
        </w:rPr>
        <w:t>拟派安全工程师须具备注册安全工程师执业资格；</w:t>
      </w:r>
      <w:r>
        <w:rPr>
          <w:rFonts w:hint="eastAsia" w:ascii="宋体" w:hAnsi="宋体" w:eastAsia="宋体" w:cs="宋体"/>
          <w:color w:val="auto"/>
          <w:szCs w:val="21"/>
          <w:highlight w:val="none"/>
        </w:rPr>
        <w:t>拟投入本工程的现场管理人员至少还应包括：</w:t>
      </w:r>
      <w:r>
        <w:rPr>
          <w:rFonts w:hint="eastAsia" w:ascii="宋体" w:hAnsi="宋体" w:eastAsia="宋体" w:cs="宋体"/>
          <w:color w:val="auto"/>
          <w:szCs w:val="21"/>
          <w:highlight w:val="none"/>
          <w:lang w:val="en-US" w:eastAsia="zh-CN"/>
        </w:rPr>
        <w:t>施工员、质检员、安全员、材料员、机械员、劳务员、资料员、造价员（或造价师）各1名；上述人员均应具有相应行业的资格或岗位证书。每人在本项目只能担任一个岗位，不得兼任。</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企业法定代表人、拟任项目经理和安全员须分别取得建设行政主管部门颁发的</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建安A类、B类和C类安全生产考核合格证书。</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单位负责人为同一人或者存在控股、管理关系的不同单位，不得同时参加本工程投标</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广东省以外企业和人员须提供已在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进粤企业和人员诚信信息登记平台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录入相关信息并通过数据规范检查。</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投标人及其法定代表人、拟任项目经理近三年没有行贿犯罪记录(提供招标公告发布之后在“中国裁判文书网”的查询结果)</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kern w:val="2"/>
          <w:sz w:val="21"/>
          <w:szCs w:val="21"/>
          <w:highlight w:val="none"/>
          <w:lang w:val="en-US" w:eastAsia="zh-CN" w:bidi="ar-SA"/>
        </w:rPr>
        <w:t>投标企业须在广</w:t>
      </w:r>
      <w:r>
        <w:rPr>
          <w:rFonts w:hint="eastAsia" w:ascii="宋体" w:hAnsi="宋体" w:eastAsia="宋体" w:cs="宋体"/>
          <w:color w:val="auto"/>
          <w:kern w:val="0"/>
          <w:sz w:val="21"/>
          <w:szCs w:val="21"/>
          <w:highlight w:val="none"/>
          <w:lang w:val="en-US" w:eastAsia="zh-CN" w:bidi="ar-SA"/>
        </w:rPr>
        <w:t>州公共资源交易中心办理企业信息登记。</w:t>
      </w:r>
    </w:p>
    <w:p>
      <w:pPr>
        <w:pStyle w:val="3"/>
        <w:keepNext w:val="0"/>
        <w:keepLines w:val="0"/>
        <w:pageBreakBefore w:val="0"/>
        <w:kinsoku/>
        <w:wordWrap/>
        <w:overflowPunct/>
        <w:topLinePunct w:val="0"/>
        <w:bidi w:val="0"/>
        <w:snapToGrid/>
        <w:spacing w:before="95" w:beforeLines="30" w:line="3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3.9 本</w:t>
      </w:r>
      <w:r>
        <w:rPr>
          <w:rFonts w:hint="eastAsia" w:ascii="宋体" w:hAnsi="宋体" w:eastAsia="宋体" w:cs="宋体"/>
          <w:color w:val="auto"/>
          <w:kern w:val="0"/>
          <w:sz w:val="21"/>
          <w:szCs w:val="21"/>
          <w:highlight w:val="none"/>
          <w:lang w:val="en-US" w:eastAsia="zh-CN" w:bidi="ar-SA"/>
        </w:rPr>
        <w:t>项目不接受联合体投标。</w:t>
      </w:r>
    </w:p>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资格审查方法</w:t>
      </w:r>
    </w:p>
    <w:p>
      <w:pPr>
        <w:keepNext w:val="0"/>
        <w:keepLines w:val="0"/>
        <w:pageBreakBefore w:val="0"/>
        <w:widowControl/>
        <w:kinsoku/>
        <w:wordWrap/>
        <w:overflowPunct/>
        <w:topLinePunct w:val="0"/>
        <w:bidi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采用资格后审。</w:t>
      </w:r>
    </w:p>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招标文件的获取</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lang w:val="en-US" w:eastAsia="zh-CN"/>
        </w:rPr>
        <w:t xml:space="preserve">5.1 </w:t>
      </w:r>
      <w:r>
        <w:rPr>
          <w:rFonts w:hint="eastAsia" w:ascii="宋体" w:hAnsi="宋体" w:eastAsia="宋体" w:cs="宋体"/>
          <w:color w:val="auto"/>
          <w:szCs w:val="21"/>
          <w:highlight w:val="none"/>
        </w:rPr>
        <w:t>凡有意参加投标者，其</w:t>
      </w:r>
      <w:r>
        <w:rPr>
          <w:rFonts w:hint="eastAsia" w:ascii="宋体" w:hAnsi="宋体" w:eastAsia="宋体" w:cs="宋体"/>
          <w:color w:val="auto"/>
          <w:szCs w:val="21"/>
          <w:highlight w:val="none"/>
          <w:lang w:val="en-US" w:eastAsia="zh-CN"/>
        </w:rPr>
        <w:t>法定代表人或委托人</w:t>
      </w:r>
      <w:r>
        <w:rPr>
          <w:rFonts w:hint="eastAsia" w:ascii="宋体" w:hAnsi="宋体" w:eastAsia="宋体" w:cs="宋体"/>
          <w:color w:val="auto"/>
          <w:szCs w:val="21"/>
          <w:highlight w:val="none"/>
        </w:rPr>
        <w:t>请于</w:t>
      </w:r>
      <w:r>
        <w:rPr>
          <w:rFonts w:hint="eastAsia" w:ascii="宋体" w:hAnsi="宋体" w:eastAsia="宋体" w:cs="宋体"/>
          <w:color w:val="auto"/>
          <w:szCs w:val="21"/>
          <w:highlight w:val="none"/>
          <w:lang w:eastAsia="zh-CN"/>
        </w:rPr>
        <w:t>2021年</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13 </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2021年</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17 </w:t>
      </w:r>
      <w:r>
        <w:rPr>
          <w:rFonts w:hint="eastAsia" w:ascii="宋体" w:hAnsi="宋体" w:eastAsia="宋体" w:cs="宋体"/>
          <w:color w:val="auto"/>
          <w:szCs w:val="21"/>
          <w:highlight w:val="none"/>
        </w:rPr>
        <w:t>日，每日上午</w:t>
      </w:r>
      <w:r>
        <w:rPr>
          <w:rFonts w:hint="eastAsia" w:ascii="宋体" w:hAnsi="宋体" w:eastAsia="宋体" w:cs="宋体"/>
          <w:color w:val="auto"/>
          <w:szCs w:val="21"/>
          <w:highlight w:val="none"/>
          <w:lang w:val="en-US" w:eastAsia="zh-CN"/>
        </w:rPr>
        <w:t>9 :30</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val="en-US" w:eastAsia="zh-CN"/>
        </w:rPr>
        <w:t>11:30</w:t>
      </w:r>
      <w:r>
        <w:rPr>
          <w:rFonts w:hint="eastAsia" w:ascii="宋体" w:hAnsi="宋体" w:eastAsia="宋体" w:cs="宋体"/>
          <w:color w:val="auto"/>
          <w:szCs w:val="21"/>
          <w:highlight w:val="none"/>
        </w:rPr>
        <w:t>，下午</w:t>
      </w:r>
      <w:r>
        <w:rPr>
          <w:rFonts w:hint="eastAsia" w:ascii="宋体" w:hAnsi="宋体" w:eastAsia="宋体" w:cs="宋体"/>
          <w:color w:val="auto"/>
          <w:szCs w:val="21"/>
          <w:highlight w:val="none"/>
          <w:lang w:val="en-US" w:eastAsia="zh-CN"/>
        </w:rPr>
        <w:t>14:00</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val="en-US" w:eastAsia="zh-CN"/>
        </w:rPr>
        <w:t>16:00</w:t>
      </w:r>
      <w:r>
        <w:rPr>
          <w:rFonts w:hint="eastAsia" w:ascii="宋体" w:hAnsi="宋体" w:eastAsia="宋体" w:cs="宋体"/>
          <w:color w:val="auto"/>
          <w:szCs w:val="21"/>
          <w:highlight w:val="none"/>
        </w:rPr>
        <w:t>（北京时间，下同）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持附件1列明的资料</w:t>
      </w:r>
      <w:r>
        <w:rPr>
          <w:rFonts w:hint="eastAsia" w:ascii="宋体" w:hAnsi="宋体" w:eastAsia="宋体" w:cs="宋体"/>
          <w:color w:val="auto"/>
          <w:szCs w:val="21"/>
          <w:highlight w:val="none"/>
        </w:rPr>
        <w:t>到</w:t>
      </w:r>
      <w:r>
        <w:rPr>
          <w:rFonts w:hint="eastAsia" w:ascii="宋体" w:hAnsi="宋体" w:eastAsia="宋体" w:cs="宋体"/>
          <w:color w:val="auto"/>
          <w:szCs w:val="21"/>
          <w:highlight w:val="none"/>
          <w:lang w:val="en-US" w:eastAsia="zh-CN"/>
        </w:rPr>
        <w:t>广州公共资源交易中心</w:t>
      </w:r>
      <w:r>
        <w:rPr>
          <w:rFonts w:hint="eastAsia" w:ascii="宋体" w:hAnsi="宋体" w:eastAsia="宋体" w:cs="宋体"/>
          <w:color w:val="auto"/>
          <w:szCs w:val="21"/>
          <w:highlight w:val="none"/>
          <w:u w:val="single"/>
          <w:lang w:val="en-US" w:eastAsia="zh-CN"/>
        </w:rPr>
        <w:t>40</w:t>
      </w:r>
      <w:r>
        <w:rPr>
          <w:rFonts w:hint="eastAsia" w:ascii="宋体" w:hAnsi="宋体" w:eastAsia="宋体" w:cs="宋体"/>
          <w:color w:val="auto"/>
          <w:szCs w:val="21"/>
          <w:highlight w:val="none"/>
          <w:u w:val="none"/>
          <w:lang w:val="en-US" w:eastAsia="zh-CN"/>
        </w:rPr>
        <w:t>号窗口</w:t>
      </w:r>
      <w:r>
        <w:rPr>
          <w:rFonts w:hint="eastAsia" w:ascii="宋体" w:hAnsi="宋体" w:eastAsia="宋体" w:cs="宋体"/>
          <w:color w:val="auto"/>
          <w:szCs w:val="21"/>
          <w:highlight w:val="none"/>
          <w:lang w:val="en-US" w:eastAsia="zh-CN"/>
        </w:rPr>
        <w:t>领取</w:t>
      </w:r>
      <w:r>
        <w:rPr>
          <w:rFonts w:hint="eastAsia" w:ascii="宋体" w:hAnsi="宋体" w:eastAsia="宋体" w:cs="宋体"/>
          <w:color w:val="auto"/>
          <w:szCs w:val="21"/>
          <w:highlight w:val="none"/>
        </w:rPr>
        <w:t>招标文</w:t>
      </w:r>
      <w:r>
        <w:rPr>
          <w:rFonts w:hint="eastAsia" w:ascii="宋体" w:hAnsi="宋体" w:eastAsia="宋体" w:cs="宋体"/>
          <w:color w:val="auto"/>
          <w:szCs w:val="21"/>
          <w:highlight w:val="none"/>
          <w:u w:val="none"/>
          <w:lang w:val="en-US" w:eastAsia="zh-CN"/>
        </w:rPr>
        <w:t>件（鉴于疫情原因，拟进行投标登记和领取招标文件的潜在投标人请提前一天与招标代理机构联系）。</w:t>
      </w:r>
    </w:p>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 w:val="24"/>
          <w:highlight w:val="none"/>
        </w:rPr>
        <w:t xml:space="preserve">. </w:t>
      </w:r>
      <w:r>
        <w:rPr>
          <w:rFonts w:hint="eastAsia" w:ascii="宋体" w:hAnsi="宋体" w:eastAsia="宋体" w:cs="宋体"/>
          <w:b/>
          <w:color w:val="auto"/>
          <w:szCs w:val="21"/>
          <w:highlight w:val="none"/>
        </w:rPr>
        <w:t>投标文件递交</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投标文件递交的截止时间（投标截止时间，下同）为</w:t>
      </w:r>
      <w:r>
        <w:rPr>
          <w:rFonts w:hint="eastAsia" w:ascii="宋体" w:hAnsi="宋体" w:eastAsia="宋体" w:cs="宋体"/>
          <w:color w:val="auto"/>
          <w:szCs w:val="21"/>
          <w:highlight w:val="none"/>
          <w:lang w:eastAsia="zh-CN"/>
        </w:rPr>
        <w:t>2021年</w:t>
      </w:r>
      <w:r>
        <w:rPr>
          <w:rFonts w:hint="eastAsia" w:ascii="宋体" w:hAnsi="宋体" w:eastAsia="宋体" w:cs="宋体"/>
          <w:color w:val="auto"/>
          <w:szCs w:val="21"/>
          <w:highlight w:val="none"/>
          <w:u w:val="single"/>
          <w:lang w:val="en-US" w:eastAsia="zh-CN"/>
        </w:rPr>
        <w:t xml:space="preserve"> 6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3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none"/>
        </w:rPr>
        <w:t>上午</w:t>
      </w:r>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00</w:t>
      </w:r>
      <w:r>
        <w:rPr>
          <w:rFonts w:hint="eastAsia" w:ascii="宋体" w:hAnsi="宋体" w:eastAsia="宋体" w:cs="宋体"/>
          <w:color w:val="auto"/>
          <w:szCs w:val="21"/>
          <w:highlight w:val="none"/>
        </w:rPr>
        <w:t>，地点为</w:t>
      </w:r>
      <w:r>
        <w:rPr>
          <w:rFonts w:hint="eastAsia" w:ascii="宋体" w:hAnsi="宋体" w:eastAsia="宋体" w:cs="宋体"/>
          <w:color w:val="auto"/>
          <w:szCs w:val="21"/>
          <w:highlight w:val="none"/>
          <w:lang w:val="en-US" w:eastAsia="zh-CN"/>
        </w:rPr>
        <w:t>广州公共资源交易中心</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逾期送达的或未送达指定地点的投标文件，招标人不予受理。</w:t>
      </w:r>
    </w:p>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 w:val="24"/>
          <w:highlight w:val="none"/>
        </w:rPr>
        <w:t xml:space="preserve">. </w:t>
      </w:r>
      <w:r>
        <w:rPr>
          <w:rFonts w:hint="eastAsia" w:ascii="宋体" w:hAnsi="宋体" w:eastAsia="宋体" w:cs="宋体"/>
          <w:b/>
          <w:color w:val="auto"/>
          <w:szCs w:val="21"/>
          <w:highlight w:val="none"/>
        </w:rPr>
        <w:t>发布的媒介</w:t>
      </w:r>
    </w:p>
    <w:p>
      <w:pPr>
        <w:keepNext w:val="0"/>
        <w:keepLines w:val="0"/>
        <w:pageBreakBefore w:val="0"/>
        <w:widowControl/>
        <w:kinsoku/>
        <w:wordWrap/>
        <w:overflowPunct/>
        <w:topLinePunct w:val="0"/>
        <w:bidi w:val="0"/>
        <w:snapToGrid/>
        <w:spacing w:before="95" w:beforeLines="30" w:line="360" w:lineRule="exact"/>
        <w:ind w:firstLine="470" w:firstLineChars="224"/>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本次招标公告同时在广东省招标投标监管网、</w:t>
      </w:r>
      <w:r>
        <w:rPr>
          <w:rFonts w:hint="eastAsia" w:ascii="宋体" w:hAnsi="宋体" w:eastAsia="宋体" w:cs="宋体"/>
          <w:color w:val="auto"/>
          <w:szCs w:val="21"/>
          <w:highlight w:val="none"/>
          <w:lang w:val="en-US" w:eastAsia="zh-CN"/>
        </w:rPr>
        <w:t>广州公共资源交易中心</w:t>
      </w:r>
      <w:r>
        <w:rPr>
          <w:rFonts w:hint="eastAsia" w:ascii="宋体" w:hAnsi="宋体" w:eastAsia="宋体" w:cs="宋体"/>
          <w:color w:val="auto"/>
          <w:szCs w:val="21"/>
          <w:highlight w:val="none"/>
        </w:rPr>
        <w:t>网站发布，本公告的修改、补充</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广东省招标投标监管网站上发布</w:t>
      </w:r>
      <w:r>
        <w:rPr>
          <w:rFonts w:hint="eastAsia" w:ascii="宋体" w:hAnsi="宋体" w:eastAsia="宋体" w:cs="宋体"/>
          <w:color w:val="auto"/>
          <w:szCs w:val="21"/>
          <w:highlight w:val="none"/>
          <w:lang w:val="en-US" w:eastAsia="zh-CN"/>
        </w:rPr>
        <w:t>的为准</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spacing w:before="95" w:beforeLines="30" w:line="36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r>
        <w:rPr>
          <w:rFonts w:hint="eastAsia" w:ascii="宋体" w:hAnsi="宋体" w:eastAsia="宋体" w:cs="宋体"/>
          <w:b/>
          <w:color w:val="auto"/>
          <w:sz w:val="24"/>
          <w:highlight w:val="none"/>
        </w:rPr>
        <w:t xml:space="preserve">. </w:t>
      </w:r>
      <w:r>
        <w:rPr>
          <w:rFonts w:hint="eastAsia" w:ascii="宋体" w:hAnsi="宋体" w:eastAsia="宋体" w:cs="宋体"/>
          <w:b/>
          <w:color w:val="auto"/>
          <w:szCs w:val="21"/>
          <w:highlight w:val="none"/>
        </w:rPr>
        <w:t>联系方式</w:t>
      </w:r>
    </w:p>
    <w:p>
      <w:pPr>
        <w:keepNext w:val="0"/>
        <w:keepLines w:val="0"/>
        <w:pageBreakBefore w:val="0"/>
        <w:widowControl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揭阳市榕城区住房和城乡建设局</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eastAsia="zh-CN"/>
        </w:rPr>
        <w:t>广东宏钜招标代理有限公司</w:t>
      </w:r>
    </w:p>
    <w:p>
      <w:pPr>
        <w:keepNext w:val="0"/>
        <w:keepLines w:val="0"/>
        <w:pageBreakBefore w:val="0"/>
        <w:widowControl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揭阳市榕城区政务服务中心八楼</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揭阳市榕城区揭阳大道以西东泮社区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250" w:firstLineChars="25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东凤园2栋201号</w:t>
      </w:r>
    </w:p>
    <w:p>
      <w:pPr>
        <w:keepNext w:val="0"/>
        <w:keepLines w:val="0"/>
        <w:pageBreakBefore w:val="0"/>
        <w:widowControl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 xml:space="preserve">蔡先生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李先生</w:t>
      </w:r>
    </w:p>
    <w:p>
      <w:pPr>
        <w:keepNext w:val="0"/>
        <w:keepLines w:val="0"/>
        <w:pageBreakBefore w:val="0"/>
        <w:widowControl w:val="0"/>
        <w:kinsoku/>
        <w:wordWrap/>
        <w:overflowPunct/>
        <w:topLinePunct w:val="0"/>
        <w:autoSpaceDE w:val="0"/>
        <w:autoSpaceDN w:val="0"/>
        <w:bidi w:val="0"/>
        <w:adjustRightInd w:val="0"/>
        <w:snapToGrid/>
        <w:spacing w:before="95" w:beforeLines="3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 xml:space="preserve">0663-8658605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0663-8282862</w:t>
      </w:r>
    </w:p>
    <w:p>
      <w:pPr>
        <w:autoSpaceDE w:val="0"/>
        <w:autoSpaceDN w:val="0"/>
        <w:adjustRightInd w:val="0"/>
        <w:spacing w:before="93" w:beforeLines="30" w:line="360" w:lineRule="exact"/>
        <w:ind w:firstLine="420" w:firstLineChars="200"/>
        <w:jc w:val="left"/>
        <w:rPr>
          <w:rFonts w:hint="eastAsia" w:ascii="宋体" w:hAnsi="宋体" w:cs="宋体"/>
          <w:color w:val="auto"/>
          <w:szCs w:val="21"/>
          <w:highlight w:val="none"/>
        </w:rPr>
      </w:pPr>
    </w:p>
    <w:p>
      <w:pPr>
        <w:autoSpaceDE w:val="0"/>
        <w:autoSpaceDN w:val="0"/>
        <w:adjustRightInd w:val="0"/>
        <w:spacing w:before="93" w:beforeLines="30" w:line="360" w:lineRule="exact"/>
        <w:ind w:firstLine="420"/>
        <w:jc w:val="left"/>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法定代表人或授权委托人</w:t>
      </w:r>
      <w:r>
        <w:rPr>
          <w:rFonts w:hint="eastAsia" w:ascii="宋体" w:hAnsi="宋体" w:cs="宋体"/>
          <w:color w:val="auto"/>
          <w:szCs w:val="21"/>
          <w:highlight w:val="none"/>
          <w:lang w:eastAsia="zh-CN"/>
        </w:rPr>
        <w:t>（</w:t>
      </w:r>
      <w:r>
        <w:rPr>
          <w:rFonts w:hint="eastAsia" w:ascii="宋体" w:hAnsi="宋体" w:eastAsia="Times New Roman" w:cs="宋体"/>
          <w:color w:val="auto"/>
          <w:szCs w:val="21"/>
          <w:highlight w:val="none"/>
          <w:lang w:eastAsia="zh-CN"/>
        </w:rPr>
        <w:t>签字</w:t>
      </w:r>
      <w:r>
        <w:rPr>
          <w:rFonts w:hint="eastAsia" w:ascii="宋体" w:hAnsi="宋体" w:cs="宋体"/>
          <w:color w:val="auto"/>
          <w:szCs w:val="21"/>
          <w:highlight w:val="none"/>
          <w:lang w:eastAsia="zh-CN"/>
        </w:rPr>
        <w:t>）</w:t>
      </w:r>
      <w:r>
        <w:rPr>
          <w:rFonts w:hint="eastAsia" w:ascii="宋体" w:hAnsi="宋体" w:eastAsia="Times New Roman" w:cs="宋体"/>
          <w:color w:val="auto"/>
          <w:szCs w:val="21"/>
          <w:highlight w:val="none"/>
          <w:lang w:eastAsia="zh-CN"/>
        </w:rPr>
        <w:t>：</w:t>
      </w:r>
    </w:p>
    <w:p>
      <w:pPr>
        <w:pStyle w:val="3"/>
        <w:spacing w:line="360" w:lineRule="exact"/>
        <w:ind w:firstLine="480"/>
        <w:rPr>
          <w:rFonts w:hint="eastAsia" w:ascii="宋体" w:hAnsi="宋体" w:eastAsia="宋体" w:cs="宋体"/>
          <w:color w:val="auto"/>
          <w:szCs w:val="21"/>
          <w:highlight w:val="none"/>
          <w:lang w:eastAsia="zh-CN"/>
        </w:rPr>
      </w:pPr>
    </w:p>
    <w:p>
      <w:pPr>
        <w:pStyle w:val="3"/>
        <w:keepNext w:val="0"/>
        <w:keepLines w:val="0"/>
        <w:pageBreakBefore w:val="0"/>
        <w:kinsoku/>
        <w:overflowPunct/>
        <w:topLinePunct w:val="0"/>
        <w:bidi w:val="0"/>
        <w:snapToGrid/>
        <w:spacing w:line="360" w:lineRule="exact"/>
        <w:ind w:firstLine="0" w:firstLineChars="0"/>
        <w:textAlignment w:val="auto"/>
        <w:rPr>
          <w:rFonts w:hint="eastAsia" w:ascii="宋体" w:hAnsi="宋体" w:eastAsia="宋体" w:cs="宋体"/>
          <w:color w:val="auto"/>
          <w:szCs w:val="21"/>
          <w:highlight w:val="none"/>
          <w:lang w:val="en-US" w:eastAsia="zh-CN"/>
        </w:rPr>
      </w:pPr>
    </w:p>
    <w:p>
      <w:pPr>
        <w:keepNext w:val="0"/>
        <w:keepLines w:val="0"/>
        <w:pageBreakBefore w:val="0"/>
        <w:kinsoku/>
        <w:wordWrap w:val="0"/>
        <w:overflowPunct/>
        <w:topLinePunct w:val="0"/>
        <w:bidi w:val="0"/>
        <w:snapToGrid/>
        <w:spacing w:line="360" w:lineRule="exact"/>
        <w:jc w:val="righ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2021年5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p>
    <w:p>
      <w:pPr>
        <w:spacing w:line="360" w:lineRule="auto"/>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w:t>
      </w:r>
      <w:r>
        <w:rPr>
          <w:rFonts w:hint="eastAsia" w:ascii="宋体" w:hAnsi="宋体" w:eastAsia="宋体" w:cs="宋体"/>
          <w:color w:val="auto"/>
          <w:kern w:val="2"/>
          <w:sz w:val="21"/>
          <w:szCs w:val="21"/>
          <w:highlight w:val="none"/>
          <w:lang w:val="en-US" w:eastAsia="zh-CN"/>
        </w:rPr>
        <w:t>投标登记资料一览表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以上附件可从发布公告的网站媒介上下载</w:t>
      </w:r>
      <w:r>
        <w:rPr>
          <w:rFonts w:hint="eastAsia" w:ascii="宋体" w:hAnsi="宋体" w:eastAsia="宋体" w:cs="宋体"/>
          <w:color w:val="auto"/>
          <w:kern w:val="2"/>
          <w:sz w:val="21"/>
          <w:szCs w:val="21"/>
          <w:highlight w:val="none"/>
          <w:lang w:eastAsia="zh-CN"/>
        </w:rPr>
        <w:t>。</w:t>
      </w:r>
    </w:p>
    <w:p>
      <w:pPr>
        <w:pStyle w:val="3"/>
        <w:rPr>
          <w:rFonts w:hint="eastAsia"/>
          <w:color w:val="auto"/>
          <w:highlight w:val="none"/>
          <w:lang w:eastAsia="zh-CN"/>
        </w:rPr>
      </w:pPr>
    </w:p>
    <w:p>
      <w:pPr>
        <w:spacing w:line="360" w:lineRule="auto"/>
        <w:rPr>
          <w:rFonts w:hint="eastAsia" w:ascii="宋体" w:hAnsi="宋体" w:eastAsia="宋体" w:cs="宋体"/>
          <w:color w:val="auto"/>
          <w:kern w:val="2"/>
          <w:sz w:val="21"/>
          <w:szCs w:val="21"/>
          <w:highlight w:val="none"/>
          <w:lang w:val="en-US" w:eastAsia="zh-CN"/>
        </w:rPr>
      </w:pPr>
      <w:r>
        <w:rPr>
          <w:color w:val="auto"/>
          <w:highlight w:val="none"/>
        </w:rPr>
        <w:br w:type="page"/>
      </w:r>
      <w:r>
        <w:rPr>
          <w:rFonts w:hint="eastAsia" w:ascii="宋体" w:hAnsi="宋体" w:eastAsia="宋体" w:cs="宋体"/>
          <w:color w:val="auto"/>
          <w:sz w:val="21"/>
          <w:szCs w:val="21"/>
          <w:highlight w:val="none"/>
          <w:lang w:eastAsia="zh-CN"/>
        </w:rPr>
        <w:t>附件1：</w:t>
      </w:r>
      <w:r>
        <w:rPr>
          <w:rFonts w:hint="eastAsia" w:ascii="宋体" w:hAnsi="宋体" w:eastAsia="宋体" w:cs="宋体"/>
          <w:color w:val="auto"/>
          <w:kern w:val="2"/>
          <w:sz w:val="21"/>
          <w:szCs w:val="21"/>
          <w:highlight w:val="none"/>
          <w:lang w:val="en-US" w:eastAsia="zh-CN"/>
        </w:rPr>
        <w:t>投标登记资料一览表</w:t>
      </w:r>
    </w:p>
    <w:p>
      <w:pPr>
        <w:spacing w:line="360" w:lineRule="auto"/>
        <w:rPr>
          <w:rFonts w:hint="eastAsia" w:ascii="宋体" w:hAnsi="宋体" w:eastAsia="宋体" w:cs="宋体"/>
          <w:color w:val="auto"/>
          <w:kern w:val="2"/>
          <w:sz w:val="21"/>
          <w:szCs w:val="21"/>
          <w:highlight w:val="none"/>
          <w:lang w:val="en-US" w:eastAsia="zh-CN"/>
        </w:rPr>
      </w:pPr>
    </w:p>
    <w:p>
      <w:pPr>
        <w:spacing w:line="360" w:lineRule="auto"/>
        <w:jc w:val="center"/>
        <w:rPr>
          <w:color w:val="auto"/>
          <w:sz w:val="30"/>
          <w:szCs w:val="30"/>
          <w:highlight w:val="none"/>
          <w:lang w:eastAsia="zh-CN"/>
        </w:rPr>
      </w:pPr>
      <w:r>
        <w:rPr>
          <w:rFonts w:hint="eastAsia" w:ascii="Times New Roman" w:hAnsi="Times New Roman" w:eastAsia="宋体" w:cs="Times New Roman"/>
          <w:b/>
          <w:bCs/>
          <w:color w:val="auto"/>
          <w:spacing w:val="11"/>
          <w:sz w:val="30"/>
          <w:szCs w:val="30"/>
          <w:highlight w:val="none"/>
          <w:lang w:eastAsia="zh-CN"/>
        </w:rPr>
        <w:t>项目名称：</w:t>
      </w:r>
      <w:r>
        <w:rPr>
          <w:rFonts w:hint="eastAsia" w:ascii="Times New Roman" w:hAnsi="Times New Roman" w:eastAsia="宋体" w:cs="Times New Roman"/>
          <w:b/>
          <w:bCs/>
          <w:color w:val="auto"/>
          <w:spacing w:val="11"/>
          <w:sz w:val="30"/>
          <w:szCs w:val="30"/>
          <w:highlight w:val="none"/>
          <w:lang w:val="en-US" w:eastAsia="zh-CN"/>
        </w:rPr>
        <w:t>揭阳市区榕江北河2号泵站过江备用管应急工程</w:t>
      </w:r>
    </w:p>
    <w:p>
      <w:pPr>
        <w:pStyle w:val="3"/>
        <w:wordWrap w:val="0"/>
        <w:ind w:left="0" w:leftChars="0" w:firstLine="0" w:firstLineChars="0"/>
        <w:jc w:val="right"/>
        <w:rPr>
          <w:rFonts w:hint="default" w:eastAsia="宋体"/>
          <w:color w:val="auto"/>
          <w:highlight w:val="none"/>
          <w:lang w:val="en-US" w:eastAsia="zh-CN"/>
        </w:rPr>
      </w:pPr>
      <w:r>
        <w:rPr>
          <w:rFonts w:hint="eastAsia" w:ascii="Times New Roman" w:hAnsi="Times New Roman" w:eastAsia="宋体" w:cs="Times New Roman"/>
          <w:bCs/>
          <w:color w:val="auto"/>
          <w:sz w:val="24"/>
          <w:szCs w:val="24"/>
          <w:highlight w:val="none"/>
          <w:lang w:eastAsia="zh-CN"/>
        </w:rPr>
        <w:t xml:space="preserve"> </w:t>
      </w:r>
      <w:r>
        <w:rPr>
          <w:rFonts w:hint="eastAsia" w:ascii="Times New Roman" w:hAnsi="Times New Roman" w:eastAsia="宋体" w:cs="Times New Roman"/>
          <w:color w:val="auto"/>
          <w:spacing w:val="-10"/>
          <w:sz w:val="24"/>
          <w:szCs w:val="24"/>
          <w:highlight w:val="none"/>
        </w:rPr>
        <w:t>投标单位（盖章）：</w:t>
      </w:r>
      <w:r>
        <w:rPr>
          <w:rFonts w:hint="eastAsia" w:ascii="Times New Roman" w:hAnsi="Times New Roman" w:eastAsia="宋体" w:cs="Times New Roman"/>
          <w:color w:val="auto"/>
          <w:spacing w:val="-10"/>
          <w:sz w:val="24"/>
          <w:szCs w:val="24"/>
          <w:highlight w:val="none"/>
          <w:lang w:val="en-US" w:eastAsia="zh-CN"/>
        </w:rPr>
        <w:t xml:space="preserve">              </w:t>
      </w:r>
    </w:p>
    <w:tbl>
      <w:tblPr>
        <w:tblStyle w:val="4"/>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280"/>
        <w:gridCol w:w="3262"/>
        <w:gridCol w:w="643"/>
        <w:gridCol w:w="1168"/>
        <w:gridCol w:w="1397"/>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blHeader/>
        </w:trPr>
        <w:tc>
          <w:tcPr>
            <w:tcW w:w="277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招标人或招标代理机构接收资料人员签名：</w:t>
            </w:r>
          </w:p>
        </w:tc>
        <w:tc>
          <w:tcPr>
            <w:tcW w:w="32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eastAsia="zh-CN"/>
              </w:rPr>
            </w:pP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委托代理人签名：</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目</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页码</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提交资料要求</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提供的资料</w:t>
            </w:r>
            <w:r>
              <w:rPr>
                <w:rFonts w:hint="eastAsia" w:ascii="宋体" w:hAnsi="宋体" w:eastAsia="宋体" w:cs="宋体"/>
                <w:color w:val="auto"/>
                <w:sz w:val="21"/>
                <w:szCs w:val="21"/>
                <w:highlight w:val="none"/>
              </w:rPr>
              <w:t>情况</w:t>
            </w:r>
          </w:p>
          <w:p>
            <w:pPr>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（此栏不需申请人填写）</w:t>
            </w:r>
          </w:p>
        </w:tc>
        <w:tc>
          <w:tcPr>
            <w:tcW w:w="54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登记</w:t>
            </w:r>
            <w:r>
              <w:rPr>
                <w:rFonts w:hint="eastAsia" w:ascii="宋体" w:hAnsi="宋体" w:eastAsia="宋体" w:cs="宋体"/>
                <w:color w:val="auto"/>
                <w:sz w:val="21"/>
                <w:szCs w:val="21"/>
                <w:highlight w:val="none"/>
                <w:lang w:eastAsia="zh-CN"/>
              </w:rPr>
              <w:t>申请表（按表格要求填写并加盖投标人公章，独立递交）</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lang w:eastAsia="zh-CN"/>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原件</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企业营业执照副本</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w:t>
            </w:r>
            <w:r>
              <w:rPr>
                <w:rFonts w:hint="eastAsia" w:ascii="宋体" w:hAnsi="宋体" w:eastAsia="宋体" w:cs="宋体"/>
                <w:color w:val="auto"/>
                <w:sz w:val="21"/>
                <w:szCs w:val="21"/>
                <w:highlight w:val="none"/>
                <w:lang w:eastAsia="zh-CN"/>
              </w:rPr>
              <w:t>备</w:t>
            </w:r>
            <w:r>
              <w:rPr>
                <w:rFonts w:hint="eastAsia" w:ascii="宋体" w:hAnsi="宋体" w:eastAsia="宋体" w:cs="宋体"/>
                <w:color w:val="auto"/>
                <w:sz w:val="21"/>
                <w:szCs w:val="21"/>
                <w:highlight w:val="none"/>
              </w:rPr>
              <w:t>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企业资质证书</w:t>
            </w:r>
            <w:r>
              <w:rPr>
                <w:rFonts w:hint="eastAsia" w:ascii="宋体" w:hAnsi="宋体" w:eastAsia="宋体" w:cs="宋体"/>
                <w:color w:val="auto"/>
                <w:sz w:val="21"/>
                <w:szCs w:val="21"/>
                <w:highlight w:val="none"/>
                <w:lang w:val="en-US" w:eastAsia="zh-CN"/>
              </w:rPr>
              <w:t>副本</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lang w:eastAsia="zh-CN"/>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复印件加盖公章</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施工企业的安全生产许可证副本</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lang w:eastAsia="zh-CN"/>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w:t>
            </w:r>
            <w:r>
              <w:rPr>
                <w:rFonts w:hint="eastAsia" w:ascii="宋体" w:hAnsi="宋体" w:eastAsia="宋体" w:cs="宋体"/>
                <w:color w:val="auto"/>
                <w:sz w:val="21"/>
                <w:szCs w:val="21"/>
                <w:highlight w:val="none"/>
                <w:lang w:eastAsia="zh-CN"/>
              </w:rPr>
              <w:t>备</w:t>
            </w:r>
            <w:r>
              <w:rPr>
                <w:rFonts w:hint="eastAsia" w:ascii="宋体" w:hAnsi="宋体" w:eastAsia="宋体" w:cs="宋体"/>
                <w:color w:val="auto"/>
                <w:sz w:val="21"/>
                <w:szCs w:val="21"/>
                <w:highlight w:val="none"/>
              </w:rPr>
              <w:t>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企业法定代表人证明书原件（若为委托</w:t>
            </w:r>
            <w:r>
              <w:rPr>
                <w:rFonts w:hint="eastAsia" w:ascii="宋体" w:hAnsi="宋体" w:eastAsia="宋体" w:cs="宋体"/>
                <w:color w:val="auto"/>
                <w:sz w:val="21"/>
                <w:szCs w:val="21"/>
                <w:highlight w:val="none"/>
                <w:lang w:val="en-US" w:eastAsia="zh-CN"/>
              </w:rPr>
              <w:t>代理人</w:t>
            </w:r>
            <w:r>
              <w:rPr>
                <w:rFonts w:hint="eastAsia" w:ascii="宋体" w:hAnsi="宋体" w:eastAsia="宋体" w:cs="宋体"/>
                <w:color w:val="auto"/>
                <w:sz w:val="21"/>
                <w:szCs w:val="21"/>
                <w:highlight w:val="none"/>
                <w:lang w:eastAsia="zh-CN"/>
              </w:rPr>
              <w:t>还需提供法人授权委托证明书原件）</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原件</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企业法定代表人身份证、</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eastAsia="zh-CN"/>
              </w:rPr>
              <w:t>安全生产考核合格证(建安A证)及社保证明材料</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5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受托人身份证及社保证明材料</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原件备查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拟派项目经理建造师注册证、有效的</w:t>
            </w:r>
            <w:r>
              <w:rPr>
                <w:rFonts w:hint="eastAsia" w:ascii="宋体" w:hAnsi="宋体" w:eastAsia="宋体" w:cs="宋体"/>
                <w:bCs/>
                <w:color w:val="auto"/>
                <w:sz w:val="21"/>
                <w:szCs w:val="21"/>
                <w:highlight w:val="none"/>
              </w:rPr>
              <w:t>安全生产考核合格证（建安B证）</w:t>
            </w:r>
            <w:r>
              <w:rPr>
                <w:rFonts w:hint="eastAsia" w:ascii="宋体" w:hAnsi="宋体" w:eastAsia="宋体" w:cs="宋体"/>
                <w:color w:val="auto"/>
                <w:sz w:val="21"/>
                <w:szCs w:val="21"/>
                <w:highlight w:val="none"/>
                <w:lang w:eastAsia="zh-CN"/>
              </w:rPr>
              <w:t>、身份证、社保证明材料及劳动合同</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w:t>
            </w:r>
            <w:r>
              <w:rPr>
                <w:rFonts w:hint="eastAsia" w:ascii="宋体" w:hAnsi="宋体" w:eastAsia="宋体" w:cs="宋体"/>
                <w:color w:val="auto"/>
                <w:sz w:val="21"/>
                <w:szCs w:val="21"/>
                <w:highlight w:val="none"/>
                <w:lang w:eastAsia="zh-CN"/>
              </w:rPr>
              <w:t>备</w:t>
            </w:r>
            <w:r>
              <w:rPr>
                <w:rFonts w:hint="eastAsia" w:ascii="宋体" w:hAnsi="宋体" w:eastAsia="宋体" w:cs="宋体"/>
                <w:color w:val="auto"/>
                <w:sz w:val="21"/>
                <w:szCs w:val="21"/>
                <w:highlight w:val="none"/>
              </w:rPr>
              <w:t>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技术负责人职称证</w:t>
            </w:r>
            <w:r>
              <w:rPr>
                <w:rFonts w:hint="eastAsia" w:ascii="宋体" w:hAnsi="宋体" w:eastAsia="宋体" w:cs="宋体"/>
                <w:color w:val="auto"/>
                <w:sz w:val="21"/>
                <w:szCs w:val="21"/>
                <w:highlight w:val="none"/>
                <w:lang w:eastAsia="zh-CN"/>
              </w:rPr>
              <w:t>、身份证、社保证明材料及劳动合同</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w:t>
            </w:r>
            <w:r>
              <w:rPr>
                <w:rFonts w:hint="eastAsia" w:ascii="宋体" w:hAnsi="宋体" w:eastAsia="宋体" w:cs="宋体"/>
                <w:color w:val="auto"/>
                <w:sz w:val="21"/>
                <w:szCs w:val="21"/>
                <w:highlight w:val="none"/>
                <w:lang w:eastAsia="zh-CN"/>
              </w:rPr>
              <w:t>备</w:t>
            </w:r>
            <w:r>
              <w:rPr>
                <w:rFonts w:hint="eastAsia" w:ascii="宋体" w:hAnsi="宋体" w:eastAsia="宋体" w:cs="宋体"/>
                <w:color w:val="auto"/>
                <w:sz w:val="21"/>
                <w:szCs w:val="21"/>
                <w:highlight w:val="none"/>
              </w:rPr>
              <w:t>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注册安全工程师</w:t>
            </w:r>
            <w:r>
              <w:rPr>
                <w:rFonts w:hint="eastAsia" w:ascii="宋体" w:hAnsi="宋体" w:eastAsia="宋体" w:cs="宋体"/>
                <w:color w:val="auto"/>
                <w:sz w:val="21"/>
                <w:szCs w:val="21"/>
                <w:highlight w:val="none"/>
                <w:lang w:eastAsia="zh-CN"/>
              </w:rPr>
              <w:t>资格证书、注册证书、身份证、社保证明材料及劳动合同</w:t>
            </w:r>
          </w:p>
        </w:tc>
        <w:tc>
          <w:tcPr>
            <w:tcW w:w="6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w:t>
            </w:r>
            <w:r>
              <w:rPr>
                <w:rFonts w:hint="eastAsia" w:ascii="宋体" w:hAnsi="宋体" w:eastAsia="宋体" w:cs="宋体"/>
                <w:color w:val="auto"/>
                <w:sz w:val="21"/>
                <w:szCs w:val="21"/>
                <w:highlight w:val="none"/>
                <w:lang w:eastAsia="zh-CN"/>
              </w:rPr>
              <w:t>备</w:t>
            </w:r>
            <w:r>
              <w:rPr>
                <w:rFonts w:hint="eastAsia" w:ascii="宋体" w:hAnsi="宋体" w:eastAsia="宋体" w:cs="宋体"/>
                <w:color w:val="auto"/>
                <w:sz w:val="21"/>
                <w:szCs w:val="21"/>
                <w:highlight w:val="none"/>
              </w:rPr>
              <w:t>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80"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拟派施工员、质检员、安全员、材料员、机械员、劳务员、资料员、造价员（或造价师）</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lang w:val="en-US" w:eastAsia="zh-CN"/>
              </w:rPr>
              <w:t>行业</w:t>
            </w:r>
            <w:r>
              <w:rPr>
                <w:rFonts w:hint="eastAsia" w:ascii="宋体" w:hAnsi="宋体" w:eastAsia="宋体" w:cs="宋体"/>
                <w:color w:val="auto"/>
                <w:sz w:val="21"/>
                <w:szCs w:val="21"/>
                <w:highlight w:val="none"/>
                <w:lang w:eastAsia="zh-CN"/>
              </w:rPr>
              <w:t>的资格（或岗位）证书、身份证、社保证明材料及劳动合同，</w:t>
            </w:r>
            <w:r>
              <w:rPr>
                <w:rFonts w:hint="eastAsia" w:ascii="宋体" w:hAnsi="宋体" w:eastAsia="宋体" w:cs="宋体"/>
                <w:color w:val="auto"/>
                <w:sz w:val="21"/>
                <w:szCs w:val="21"/>
                <w:highlight w:val="none"/>
                <w:lang w:val="en-US" w:eastAsia="zh-CN"/>
              </w:rPr>
              <w:t>安全员</w:t>
            </w:r>
            <w:r>
              <w:rPr>
                <w:rFonts w:hint="eastAsia" w:ascii="宋体" w:hAnsi="宋体" w:eastAsia="宋体" w:cs="宋体"/>
                <w:color w:val="auto"/>
                <w:sz w:val="21"/>
                <w:szCs w:val="21"/>
                <w:highlight w:val="none"/>
                <w:lang w:eastAsia="zh-CN"/>
              </w:rPr>
              <w:t>有效的</w:t>
            </w:r>
            <w:r>
              <w:rPr>
                <w:rFonts w:hint="eastAsia" w:ascii="宋体" w:hAnsi="宋体" w:eastAsia="宋体" w:cs="宋体"/>
                <w:bCs/>
                <w:color w:val="auto"/>
                <w:sz w:val="21"/>
                <w:szCs w:val="21"/>
                <w:highlight w:val="none"/>
              </w:rPr>
              <w:t>安全生产考核合格证（建安</w:t>
            </w:r>
            <w:r>
              <w:rPr>
                <w:rFonts w:hint="eastAsia" w:ascii="宋体" w:hAnsi="宋体" w:eastAsia="宋体" w:cs="宋体"/>
                <w:bCs/>
                <w:color w:val="auto"/>
                <w:sz w:val="21"/>
                <w:szCs w:val="21"/>
                <w:highlight w:val="none"/>
                <w:lang w:val="en-US" w:eastAsia="zh-CN"/>
              </w:rPr>
              <w:t>C</w:t>
            </w:r>
            <w:r>
              <w:rPr>
                <w:rFonts w:hint="eastAsia" w:ascii="宋体" w:hAnsi="宋体" w:eastAsia="宋体" w:cs="宋体"/>
                <w:bCs/>
                <w:color w:val="auto"/>
                <w:sz w:val="21"/>
                <w:szCs w:val="21"/>
                <w:highlight w:val="none"/>
              </w:rPr>
              <w:t>证）</w:t>
            </w: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施工员</w:t>
            </w:r>
          </w:p>
        </w:tc>
        <w:tc>
          <w:tcPr>
            <w:tcW w:w="643" w:type="dxa"/>
            <w:vMerge w:val="restart"/>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w:t>
            </w:r>
            <w:r>
              <w:rPr>
                <w:rFonts w:hint="eastAsia" w:ascii="宋体" w:hAnsi="宋体" w:eastAsia="宋体" w:cs="宋体"/>
                <w:color w:val="auto"/>
                <w:sz w:val="21"/>
                <w:szCs w:val="21"/>
                <w:highlight w:val="none"/>
                <w:lang w:eastAsia="zh-CN"/>
              </w:rPr>
              <w:t>备</w:t>
            </w:r>
            <w:r>
              <w:rPr>
                <w:rFonts w:hint="eastAsia" w:ascii="宋体" w:hAnsi="宋体" w:eastAsia="宋体" w:cs="宋体"/>
                <w:color w:val="auto"/>
                <w:sz w:val="21"/>
                <w:szCs w:val="21"/>
                <w:highlight w:val="none"/>
              </w:rPr>
              <w:t>查</w:t>
            </w:r>
          </w:p>
        </w:tc>
        <w:tc>
          <w:tcPr>
            <w:tcW w:w="1397"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restart"/>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continue"/>
            <w:tcBorders>
              <w:left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 w:val="21"/>
                <w:szCs w:val="21"/>
                <w:highlight w:val="none"/>
                <w:lang w:val="en-US" w:eastAsia="zh-CN"/>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val="en-US" w:eastAsia="zh-CN"/>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质检员</w:t>
            </w:r>
          </w:p>
        </w:tc>
        <w:tc>
          <w:tcPr>
            <w:tcW w:w="643"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397"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continue"/>
            <w:tcBorders>
              <w:left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 w:val="21"/>
                <w:szCs w:val="21"/>
                <w:highlight w:val="none"/>
                <w:lang w:val="en-US" w:eastAsia="zh-CN"/>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安全员</w:t>
            </w:r>
          </w:p>
        </w:tc>
        <w:tc>
          <w:tcPr>
            <w:tcW w:w="643"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397"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continue"/>
            <w:tcBorders>
              <w:left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 w:val="21"/>
                <w:szCs w:val="21"/>
                <w:highlight w:val="none"/>
                <w:lang w:val="en-US" w:eastAsia="zh-CN"/>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材料员</w:t>
            </w:r>
          </w:p>
        </w:tc>
        <w:tc>
          <w:tcPr>
            <w:tcW w:w="643"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397"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continue"/>
            <w:tcBorders>
              <w:left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 w:val="21"/>
                <w:szCs w:val="21"/>
                <w:highlight w:val="none"/>
                <w:lang w:val="en-US" w:eastAsia="zh-CN"/>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机械员</w:t>
            </w:r>
          </w:p>
        </w:tc>
        <w:tc>
          <w:tcPr>
            <w:tcW w:w="643"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397"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continue"/>
            <w:tcBorders>
              <w:left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 w:val="21"/>
                <w:szCs w:val="21"/>
                <w:highlight w:val="none"/>
                <w:lang w:val="en-US" w:eastAsia="zh-CN"/>
              </w:rPr>
            </w:pPr>
          </w:p>
        </w:tc>
        <w:tc>
          <w:tcPr>
            <w:tcW w:w="2280" w:type="dxa"/>
            <w:vMerge w:val="continue"/>
            <w:tcBorders>
              <w:left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劳务员</w:t>
            </w:r>
          </w:p>
        </w:tc>
        <w:tc>
          <w:tcPr>
            <w:tcW w:w="643"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397"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continue"/>
            <w:tcBorders>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 w:val="21"/>
                <w:szCs w:val="21"/>
                <w:highlight w:val="none"/>
                <w:lang w:val="en-US" w:eastAsia="zh-CN"/>
              </w:rPr>
            </w:pPr>
          </w:p>
        </w:tc>
        <w:tc>
          <w:tcPr>
            <w:tcW w:w="2280"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资料员</w:t>
            </w:r>
          </w:p>
        </w:tc>
        <w:tc>
          <w:tcPr>
            <w:tcW w:w="643"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397"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continue"/>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491" w:type="dxa"/>
            <w:vMerge w:val="continue"/>
            <w:tcBorders>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 w:val="21"/>
                <w:szCs w:val="21"/>
                <w:highlight w:val="none"/>
                <w:lang w:val="en-US" w:eastAsia="zh-CN"/>
              </w:rPr>
            </w:pPr>
          </w:p>
        </w:tc>
        <w:tc>
          <w:tcPr>
            <w:tcW w:w="2280"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p>
        </w:tc>
        <w:tc>
          <w:tcPr>
            <w:tcW w:w="326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造价员（或造价师）</w:t>
            </w:r>
          </w:p>
        </w:tc>
        <w:tc>
          <w:tcPr>
            <w:tcW w:w="643"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16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397"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blHead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54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val="0"/>
              <w:spacing w:line="240"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2017年～2019年度</w:t>
            </w:r>
            <w:r>
              <w:rPr>
                <w:rFonts w:hint="eastAsia" w:ascii="宋体" w:hAnsi="宋体" w:eastAsia="宋体" w:cs="宋体"/>
                <w:color w:val="auto"/>
                <w:sz w:val="21"/>
                <w:szCs w:val="21"/>
                <w:highlight w:val="none"/>
                <w:lang w:eastAsia="zh-CN"/>
              </w:rPr>
              <w:t>财务状况表（经会计师事务所或审计机构审计的财务会计报表）</w:t>
            </w:r>
          </w:p>
        </w:tc>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left="0" w:leftChars="0" w:firstLine="0" w:firstLineChars="0"/>
              <w:jc w:val="center"/>
              <w:rPr>
                <w:rFonts w:hint="eastAsia" w:ascii="宋体" w:hAnsi="宋体" w:eastAsia="宋体"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w:t>
            </w:r>
            <w:r>
              <w:rPr>
                <w:rFonts w:hint="eastAsia" w:ascii="宋体" w:hAnsi="宋体" w:eastAsia="宋体" w:cs="宋体"/>
                <w:color w:val="auto"/>
                <w:sz w:val="21"/>
                <w:szCs w:val="21"/>
                <w:highlight w:val="none"/>
                <w:lang w:eastAsia="zh-CN"/>
              </w:rPr>
              <w:t>备</w:t>
            </w:r>
            <w:r>
              <w:rPr>
                <w:rFonts w:hint="eastAsia" w:ascii="宋体" w:hAnsi="宋体" w:eastAsia="宋体" w:cs="宋体"/>
                <w:color w:val="auto"/>
                <w:sz w:val="21"/>
                <w:szCs w:val="21"/>
                <w:highlight w:val="none"/>
              </w:rPr>
              <w:t>查</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blHeader/>
        </w:trPr>
        <w:tc>
          <w:tcPr>
            <w:tcW w:w="491"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5542" w:type="dxa"/>
            <w:gridSpan w:val="2"/>
            <w:tcBorders>
              <w:left w:val="single" w:color="auto" w:sz="4" w:space="0"/>
              <w:right w:val="single" w:color="auto" w:sz="4" w:space="0"/>
            </w:tcBorders>
            <w:noWrap w:val="0"/>
            <w:vAlign w:val="center"/>
          </w:tcPr>
          <w:p>
            <w:pPr>
              <w:widowControl w:val="0"/>
              <w:spacing w:line="240" w:lineRule="auto"/>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广东省以外企业和人员须提供已在“进粤企业和人员诚信信息登记平台”录入相关信息并通过数据规范检查的网上打印件</w:t>
            </w:r>
          </w:p>
        </w:tc>
        <w:tc>
          <w:tcPr>
            <w:tcW w:w="643" w:type="dxa"/>
            <w:tcBorders>
              <w:left w:val="single" w:color="auto" w:sz="4" w:space="0"/>
              <w:right w:val="single" w:color="auto" w:sz="4" w:space="0"/>
            </w:tcBorders>
            <w:noWrap w:val="0"/>
            <w:vAlign w:val="center"/>
          </w:tcPr>
          <w:p>
            <w:pPr>
              <w:widowControl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p>
        </w:tc>
        <w:tc>
          <w:tcPr>
            <w:tcW w:w="1168"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加盖公章</w:t>
            </w: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blHeader/>
        </w:trPr>
        <w:tc>
          <w:tcPr>
            <w:tcW w:w="491"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5542" w:type="dxa"/>
            <w:gridSpan w:val="2"/>
            <w:tcBorders>
              <w:left w:val="single" w:color="auto" w:sz="4" w:space="0"/>
              <w:right w:val="single" w:color="auto" w:sz="4" w:space="0"/>
            </w:tcBorders>
            <w:noWrap w:val="0"/>
            <w:vAlign w:val="center"/>
          </w:tcPr>
          <w:p>
            <w:pPr>
              <w:widowControl w:val="0"/>
              <w:spacing w:line="240" w:lineRule="auto"/>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“中国裁判文书网”的查询结果</w:t>
            </w:r>
          </w:p>
        </w:tc>
        <w:tc>
          <w:tcPr>
            <w:tcW w:w="643" w:type="dxa"/>
            <w:tcBorders>
              <w:left w:val="single" w:color="auto" w:sz="4" w:space="0"/>
              <w:right w:val="single" w:color="auto" w:sz="4" w:space="0"/>
            </w:tcBorders>
            <w:noWrap w:val="0"/>
            <w:vAlign w:val="center"/>
          </w:tcPr>
          <w:p>
            <w:pPr>
              <w:widowControl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p>
        </w:tc>
        <w:tc>
          <w:tcPr>
            <w:tcW w:w="1168"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加盖公章</w:t>
            </w:r>
          </w:p>
        </w:tc>
        <w:tc>
          <w:tcPr>
            <w:tcW w:w="1397"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544" w:type="dxa"/>
            <w:tcBorders>
              <w:left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bl>
    <w:p>
      <w:pPr>
        <w:spacing w:line="360" w:lineRule="auto"/>
        <w:jc w:val="both"/>
        <w:rPr>
          <w:rFonts w:hint="eastAsia" w:ascii="宋体" w:hAnsi="宋体" w:eastAsia="宋体" w:cs="宋体"/>
          <w:bCs/>
          <w:color w:val="auto"/>
          <w:sz w:val="18"/>
          <w:szCs w:val="18"/>
          <w:highlight w:val="none"/>
        </w:rPr>
      </w:pPr>
    </w:p>
    <w:p>
      <w:pPr>
        <w:keepNext w:val="0"/>
        <w:keepLines w:val="0"/>
        <w:pageBreakBefore w:val="0"/>
        <w:widowControl w:val="0"/>
        <w:kinsoku/>
        <w:wordWrap/>
        <w:overflowPunct/>
        <w:topLinePunct w:val="0"/>
        <w:autoSpaceDE/>
        <w:autoSpaceDN/>
        <w:bidi w:val="0"/>
        <w:adjustRightInd/>
        <w:snapToGrid/>
        <w:spacing w:before="95" w:beforeLines="30" w:line="360" w:lineRule="exact"/>
        <w:ind w:left="735" w:right="105" w:rightChars="50" w:hanging="735" w:hangingChars="35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注：1、本表一式</w:t>
      </w:r>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份，</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份</w:t>
      </w:r>
      <w:r>
        <w:rPr>
          <w:rFonts w:hint="eastAsia" w:ascii="宋体" w:hAnsi="宋体" w:eastAsia="宋体" w:cs="宋体"/>
          <w:bCs/>
          <w:color w:val="auto"/>
          <w:sz w:val="21"/>
          <w:szCs w:val="21"/>
          <w:highlight w:val="none"/>
          <w:lang w:eastAsia="zh-CN"/>
        </w:rPr>
        <w:t>分别</w:t>
      </w:r>
      <w:r>
        <w:rPr>
          <w:rFonts w:hint="eastAsia" w:ascii="宋体" w:hAnsi="宋体" w:eastAsia="宋体" w:cs="宋体"/>
          <w:bCs/>
          <w:color w:val="auto"/>
          <w:sz w:val="21"/>
          <w:szCs w:val="21"/>
          <w:highlight w:val="none"/>
          <w:lang w:val="en-US" w:eastAsia="zh-CN"/>
        </w:rPr>
        <w:t>装订</w:t>
      </w:r>
      <w:r>
        <w:rPr>
          <w:rFonts w:hint="eastAsia" w:ascii="宋体" w:hAnsi="宋体" w:eastAsia="宋体" w:cs="宋体"/>
          <w:bCs/>
          <w:color w:val="auto"/>
          <w:sz w:val="21"/>
          <w:szCs w:val="21"/>
          <w:highlight w:val="none"/>
        </w:rPr>
        <w:t>于</w:t>
      </w:r>
      <w:r>
        <w:rPr>
          <w:rFonts w:hint="eastAsia" w:ascii="宋体" w:hAnsi="宋体" w:eastAsia="宋体" w:cs="宋体"/>
          <w:bCs/>
          <w:color w:val="auto"/>
          <w:sz w:val="21"/>
          <w:szCs w:val="21"/>
          <w:highlight w:val="none"/>
          <w:lang w:eastAsia="zh-CN"/>
        </w:rPr>
        <w:t>上表</w:t>
      </w:r>
      <w:r>
        <w:rPr>
          <w:rFonts w:hint="eastAsia" w:ascii="宋体" w:hAnsi="宋体" w:eastAsia="宋体" w:cs="宋体"/>
          <w:bCs/>
          <w:color w:val="auto"/>
          <w:sz w:val="21"/>
          <w:szCs w:val="21"/>
          <w:highlight w:val="none"/>
        </w:rPr>
        <w:t>资料内首页，作为资料目录，另一份交回投标人代表。两份表格</w:t>
      </w:r>
      <w:r>
        <w:rPr>
          <w:rFonts w:hint="eastAsia" w:ascii="宋体" w:hAnsi="宋体" w:eastAsia="宋体" w:cs="宋体"/>
          <w:bCs/>
          <w:color w:val="auto"/>
          <w:sz w:val="21"/>
          <w:szCs w:val="21"/>
          <w:highlight w:val="none"/>
          <w:lang w:eastAsia="zh-CN"/>
        </w:rPr>
        <w:t>第一</w:t>
      </w:r>
      <w:r>
        <w:rPr>
          <w:rFonts w:hint="eastAsia" w:ascii="宋体" w:hAnsi="宋体" w:eastAsia="宋体" w:cs="宋体"/>
          <w:bCs/>
          <w:color w:val="auto"/>
          <w:sz w:val="21"/>
          <w:szCs w:val="21"/>
          <w:highlight w:val="none"/>
        </w:rPr>
        <w:t>栏均需双方签署。</w:t>
      </w:r>
    </w:p>
    <w:p>
      <w:pPr>
        <w:keepNext w:val="0"/>
        <w:keepLines w:val="0"/>
        <w:pageBreakBefore w:val="0"/>
        <w:widowControl w:val="0"/>
        <w:kinsoku/>
        <w:wordWrap/>
        <w:overflowPunct/>
        <w:topLinePunct w:val="0"/>
        <w:autoSpaceDE/>
        <w:autoSpaceDN/>
        <w:bidi w:val="0"/>
        <w:adjustRightInd/>
        <w:snapToGrid/>
        <w:spacing w:before="95" w:beforeLines="30" w:line="360" w:lineRule="exact"/>
        <w:ind w:right="105" w:rightChars="5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2、本表</w:t>
      </w:r>
      <w:r>
        <w:rPr>
          <w:rFonts w:hint="eastAsia" w:ascii="宋体" w:hAnsi="宋体" w:eastAsia="宋体" w:cs="宋体"/>
          <w:bCs/>
          <w:color w:val="auto"/>
          <w:sz w:val="21"/>
          <w:szCs w:val="21"/>
          <w:highlight w:val="none"/>
          <w:lang w:eastAsia="zh-CN"/>
        </w:rPr>
        <w:t>资料核对</w:t>
      </w:r>
      <w:r>
        <w:rPr>
          <w:rFonts w:hint="eastAsia" w:ascii="宋体" w:hAnsi="宋体" w:eastAsia="宋体" w:cs="宋体"/>
          <w:bCs/>
          <w:color w:val="auto"/>
          <w:sz w:val="21"/>
          <w:szCs w:val="21"/>
          <w:highlight w:val="none"/>
        </w:rPr>
        <w:t>情况栏及备注栏须留空，由招标人或招标代理机构收资料人员</w:t>
      </w:r>
      <w:r>
        <w:rPr>
          <w:rFonts w:hint="eastAsia" w:ascii="宋体" w:hAnsi="宋体" w:eastAsia="宋体" w:cs="宋体"/>
          <w:bCs/>
          <w:color w:val="auto"/>
          <w:sz w:val="21"/>
          <w:szCs w:val="21"/>
          <w:highlight w:val="none"/>
          <w:lang w:eastAsia="zh-CN"/>
        </w:rPr>
        <w:t>核对</w:t>
      </w:r>
      <w:r>
        <w:rPr>
          <w:rFonts w:hint="eastAsia" w:ascii="宋体" w:hAnsi="宋体" w:eastAsia="宋体" w:cs="宋体"/>
          <w:bCs/>
          <w:color w:val="auto"/>
          <w:sz w:val="21"/>
          <w:szCs w:val="21"/>
          <w:highlight w:val="none"/>
        </w:rPr>
        <w:t>后填写。</w:t>
      </w:r>
    </w:p>
    <w:p>
      <w:pPr>
        <w:pStyle w:val="3"/>
        <w:keepNext w:val="0"/>
        <w:keepLines w:val="0"/>
        <w:pageBreakBefore w:val="0"/>
        <w:widowControl w:val="0"/>
        <w:kinsoku/>
        <w:wordWrap/>
        <w:overflowPunct/>
        <w:topLinePunct w:val="0"/>
        <w:autoSpaceDE/>
        <w:autoSpaceDN/>
        <w:bidi w:val="0"/>
        <w:adjustRightInd/>
        <w:snapToGrid/>
        <w:spacing w:before="95" w:beforeLines="30" w:after="0" w:line="360" w:lineRule="exact"/>
        <w:ind w:right="105" w:rightChars="5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3、本表中有修改情况，须经招标人或招标代理机构接收资料人员和投标单位代表共同签署。</w:t>
      </w:r>
    </w:p>
    <w:p>
      <w:r>
        <w:rPr>
          <w:rFonts w:hint="eastAsia" w:ascii="宋体" w:hAnsi="宋体" w:eastAsia="宋体" w:cs="宋体"/>
          <w:bCs/>
          <w:color w:val="auto"/>
          <w:sz w:val="21"/>
          <w:szCs w:val="21"/>
          <w:highlight w:val="none"/>
        </w:rPr>
        <w:t>4、上表要求提供的资料一式二份，除要求提供原件外可提供加盖公章的复印件，原件携带备查（资质证书</w:t>
      </w:r>
      <w:r>
        <w:rPr>
          <w:rFonts w:hint="eastAsia" w:ascii="宋体" w:hAnsi="宋体" w:eastAsia="宋体" w:cs="宋体"/>
          <w:bCs/>
          <w:color w:val="auto"/>
          <w:sz w:val="21"/>
          <w:szCs w:val="21"/>
          <w:highlight w:val="none"/>
          <w:lang w:eastAsia="zh-CN"/>
        </w:rPr>
        <w:t>及电子证书</w:t>
      </w:r>
      <w:r>
        <w:rPr>
          <w:rFonts w:hint="eastAsia" w:ascii="宋体" w:hAnsi="宋体" w:eastAsia="宋体" w:cs="宋体"/>
          <w:bCs/>
          <w:color w:val="auto"/>
          <w:sz w:val="21"/>
          <w:szCs w:val="21"/>
          <w:highlight w:val="none"/>
        </w:rPr>
        <w:t>除外）；社保证明材料是指最近连续</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个月有效的社保证明材料；上表资料不齐全或不符合要求者，不予接</w:t>
      </w:r>
      <w:r>
        <w:rPr>
          <w:rFonts w:hint="eastAsia" w:ascii="宋体" w:hAnsi="宋体" w:eastAsia="宋体" w:cs="宋体"/>
          <w:bCs/>
          <w:color w:val="auto"/>
          <w:sz w:val="21"/>
          <w:szCs w:val="21"/>
          <w:highlight w:val="none"/>
          <w:lang w:eastAsia="zh-CN"/>
        </w:rPr>
        <w:t>收</w:t>
      </w:r>
      <w:r>
        <w:rPr>
          <w:rFonts w:hint="eastAsia" w:ascii="宋体" w:hAnsi="宋体" w:eastAsia="宋体" w:cs="宋体"/>
          <w:bCs/>
          <w:color w:val="auto"/>
          <w:kern w:val="0"/>
          <w:sz w:val="21"/>
          <w:szCs w:val="21"/>
          <w:highlight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A1C16"/>
    <w:rsid w:val="6B79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Body Text First Indent 2"/>
    <w:basedOn w:val="2"/>
    <w:qFormat/>
    <w:uiPriority w:val="0"/>
    <w:pPr>
      <w:ind w:left="0" w:leftChars="0" w:firstLine="960" w:firstLineChars="200"/>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2022-03-03T03:27:00Z</dcterms:created>
  <dc:creator>Administrator</dc:creator>
  <cp:lastModifiedBy>Administrator</cp:lastModifiedBy>
  <dcterms:modified xsi:type="dcterms:W3CDTF">2022-03-03T03:29:44Z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19BC62214E3B430ABB5922D15F9F72B0</vt:lpwstr>
  </property>
</Properties>
</file>