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3522AC">
      <w:pPr>
        <w:jc w:val="both"/>
        <w:rPr>
          <w:rFonts w:hint="eastAsia" w:ascii="方正小标宋_GBK" w:eastAsia="方正小标宋_GBK"/>
          <w:bCs/>
          <w:color w:val="auto"/>
          <w:sz w:val="72"/>
          <w:szCs w:val="72"/>
          <w:highlight w:val="none"/>
          <w:lang w:eastAsia="zh-CN"/>
        </w:rPr>
      </w:pPr>
      <w:bookmarkStart w:id="0" w:name="_Hlk65573720"/>
    </w:p>
    <w:p w14:paraId="4D5ACB25">
      <w:pPr>
        <w:jc w:val="center"/>
        <w:rPr>
          <w:rFonts w:hint="eastAsia" w:ascii="方正小标宋_GBK" w:eastAsia="方正小标宋_GBK"/>
          <w:bCs/>
          <w:color w:val="auto"/>
          <w:sz w:val="72"/>
          <w:szCs w:val="72"/>
          <w:highlight w:val="none"/>
          <w:lang w:eastAsia="zh-CN"/>
        </w:rPr>
      </w:pPr>
    </w:p>
    <w:p w14:paraId="00146C86">
      <w:pPr>
        <w:jc w:val="center"/>
        <w:rPr>
          <w:rFonts w:ascii="方正小标宋_GBK" w:eastAsia="方正小标宋_GBK"/>
          <w:bCs/>
          <w:color w:val="auto"/>
          <w:sz w:val="72"/>
          <w:szCs w:val="72"/>
          <w:highlight w:val="none"/>
        </w:rPr>
      </w:pPr>
      <w:r>
        <w:rPr>
          <w:rFonts w:hint="eastAsia" w:ascii="方正小标宋_GBK" w:eastAsia="方正小标宋_GBK"/>
          <w:bCs/>
          <w:color w:val="auto"/>
          <w:sz w:val="72"/>
          <w:szCs w:val="72"/>
          <w:highlight w:val="none"/>
        </w:rPr>
        <w:t>建设项目环境影响报告表</w:t>
      </w:r>
    </w:p>
    <w:p w14:paraId="11C9BC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楷体_GB2312" w:eastAsia="楷体_GB2312"/>
          <w:bCs/>
          <w:color w:val="auto"/>
          <w:sz w:val="48"/>
          <w:szCs w:val="48"/>
          <w:highlight w:val="none"/>
        </w:rPr>
      </w:pPr>
      <w:r>
        <w:rPr>
          <w:rFonts w:hint="eastAsia" w:ascii="楷体_GB2312" w:eastAsia="楷体_GB2312"/>
          <w:bCs/>
          <w:color w:val="auto"/>
          <w:sz w:val="48"/>
          <w:szCs w:val="48"/>
          <w:highlight w:val="none"/>
        </w:rPr>
        <w:t>（污染影响类）</w:t>
      </w:r>
    </w:p>
    <w:p w14:paraId="4519221D">
      <w:pPr>
        <w:pStyle w:val="65"/>
        <w:ind w:firstLine="960"/>
        <w:rPr>
          <w:rFonts w:hint="eastAsia" w:ascii="楷体_GB2312" w:eastAsia="楷体_GB2312"/>
          <w:bCs/>
          <w:color w:val="auto"/>
          <w:sz w:val="48"/>
          <w:szCs w:val="48"/>
          <w:highlight w:val="none"/>
        </w:rPr>
      </w:pPr>
    </w:p>
    <w:p w14:paraId="5F0C804D">
      <w:pPr>
        <w:pStyle w:val="65"/>
        <w:ind w:firstLine="960"/>
        <w:rPr>
          <w:rFonts w:hint="eastAsia" w:ascii="楷体_GB2312" w:eastAsia="楷体_GB2312"/>
          <w:bCs/>
          <w:color w:val="auto"/>
          <w:sz w:val="48"/>
          <w:szCs w:val="48"/>
          <w:highlight w:val="none"/>
        </w:rPr>
      </w:pPr>
    </w:p>
    <w:p w14:paraId="78FE2C87">
      <w:pPr>
        <w:pStyle w:val="65"/>
        <w:ind w:firstLine="960"/>
        <w:rPr>
          <w:rFonts w:hint="eastAsia" w:ascii="楷体_GB2312" w:eastAsia="楷体_GB2312"/>
          <w:bCs/>
          <w:color w:val="auto"/>
          <w:sz w:val="48"/>
          <w:szCs w:val="48"/>
          <w:highlight w:val="none"/>
        </w:rPr>
      </w:pPr>
    </w:p>
    <w:p w14:paraId="5152FB49">
      <w:pPr>
        <w:pStyle w:val="65"/>
        <w:ind w:firstLine="960"/>
        <w:rPr>
          <w:rFonts w:hint="eastAsia" w:ascii="楷体_GB2312" w:eastAsia="楷体_GB2312"/>
          <w:bCs/>
          <w:color w:val="auto"/>
          <w:sz w:val="48"/>
          <w:szCs w:val="48"/>
          <w:highlight w:val="none"/>
        </w:rPr>
      </w:pPr>
    </w:p>
    <w:p w14:paraId="5E9F2559">
      <w:pPr>
        <w:keepNext w:val="0"/>
        <w:keepLines w:val="0"/>
        <w:pageBreakBefore w:val="0"/>
        <w:widowControl w:val="0"/>
        <w:kinsoku/>
        <w:wordWrap/>
        <w:overflowPunct/>
        <w:topLinePunct w:val="0"/>
        <w:autoSpaceDE/>
        <w:autoSpaceDN/>
        <w:bidi w:val="0"/>
        <w:adjustRightInd w:val="0"/>
        <w:snapToGrid w:val="0"/>
        <w:spacing w:line="288" w:lineRule="auto"/>
        <w:ind w:left="1800" w:hanging="1800" w:hangingChars="500"/>
        <w:jc w:val="center"/>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项目名称：</w:t>
      </w:r>
      <w:r>
        <w:rPr>
          <w:rFonts w:hint="eastAsia" w:ascii="仿宋_GB2312" w:eastAsia="仿宋_GB2312"/>
          <w:color w:val="auto"/>
          <w:sz w:val="36"/>
          <w:szCs w:val="36"/>
          <w:highlight w:val="none"/>
          <w:u w:val="single"/>
          <w:lang w:eastAsia="zh-CN"/>
        </w:rPr>
        <w:t>中山市顺楷电器有限公司年产塑料配件100万套新建项目</w:t>
      </w:r>
    </w:p>
    <w:p w14:paraId="642E27BC">
      <w:pPr>
        <w:keepNext w:val="0"/>
        <w:keepLines w:val="0"/>
        <w:pageBreakBefore w:val="0"/>
        <w:widowControl w:val="0"/>
        <w:kinsoku/>
        <w:wordWrap/>
        <w:overflowPunct/>
        <w:topLinePunct w:val="0"/>
        <w:autoSpaceDE/>
        <w:autoSpaceDN/>
        <w:bidi w:val="0"/>
        <w:adjustRightInd w:val="0"/>
        <w:snapToGrid w:val="0"/>
        <w:spacing w:line="288" w:lineRule="auto"/>
        <w:ind w:firstLine="0"/>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建设单位（盖章）：</w:t>
      </w:r>
      <w:r>
        <w:rPr>
          <w:rFonts w:hint="eastAsia" w:ascii="仿宋_GB2312" w:eastAsia="仿宋_GB2312"/>
          <w:color w:val="auto"/>
          <w:sz w:val="36"/>
          <w:szCs w:val="36"/>
          <w:highlight w:val="none"/>
          <w:u w:val="single"/>
          <w:lang w:eastAsia="zh-CN"/>
        </w:rPr>
        <w:t>中山市顺楷电器有限公司</w:t>
      </w:r>
      <w:r>
        <w:rPr>
          <w:rFonts w:hint="eastAsia" w:ascii="仿宋_GB2312" w:eastAsia="仿宋_GB2312"/>
          <w:color w:val="auto"/>
          <w:sz w:val="36"/>
          <w:szCs w:val="36"/>
          <w:highlight w:val="none"/>
          <w:u w:val="single"/>
          <w:lang w:val="en-US" w:eastAsia="zh-CN"/>
        </w:rPr>
        <w:t xml:space="preserve">   </w:t>
      </w:r>
      <w:r>
        <w:rPr>
          <w:rFonts w:hint="eastAsia" w:ascii="仿宋_GB2312" w:eastAsia="仿宋_GB2312"/>
          <w:color w:val="auto"/>
          <w:sz w:val="36"/>
          <w:szCs w:val="36"/>
          <w:highlight w:val="none"/>
          <w:u w:val="single"/>
        </w:rPr>
        <w:t xml:space="preserve"> </w:t>
      </w:r>
    </w:p>
    <w:p w14:paraId="54DE20C3">
      <w:pPr>
        <w:keepNext w:val="0"/>
        <w:keepLines w:val="0"/>
        <w:pageBreakBefore w:val="0"/>
        <w:widowControl w:val="0"/>
        <w:kinsoku/>
        <w:wordWrap/>
        <w:overflowPunct/>
        <w:topLinePunct w:val="0"/>
        <w:autoSpaceDE/>
        <w:autoSpaceDN/>
        <w:bidi w:val="0"/>
        <w:adjustRightInd w:val="0"/>
        <w:snapToGrid w:val="0"/>
        <w:spacing w:line="288" w:lineRule="auto"/>
        <w:ind w:firstLine="0"/>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编制日期：</w:t>
      </w:r>
      <w:r>
        <w:rPr>
          <w:rFonts w:hint="eastAsia" w:ascii="仿宋_GB2312" w:eastAsia="仿宋_GB2312"/>
          <w:color w:val="auto"/>
          <w:sz w:val="36"/>
          <w:szCs w:val="36"/>
          <w:highlight w:val="none"/>
          <w:u w:val="single"/>
        </w:rPr>
        <w:t xml:space="preserve">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lang w:val="en-US" w:eastAsia="zh-CN"/>
        </w:rPr>
        <w:t xml:space="preserve">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lang w:val="en-US" w:eastAsia="zh-CN"/>
        </w:rPr>
        <w:t xml:space="preserve"> </w:t>
      </w:r>
      <w:r>
        <w:rPr>
          <w:rFonts w:ascii="仿宋_GB2312" w:eastAsia="仿宋_GB2312"/>
          <w:color w:val="auto"/>
          <w:sz w:val="36"/>
          <w:szCs w:val="36"/>
          <w:highlight w:val="none"/>
          <w:u w:val="single"/>
        </w:rPr>
        <w:t>202</w:t>
      </w:r>
      <w:r>
        <w:rPr>
          <w:rFonts w:hint="eastAsia" w:ascii="仿宋_GB2312" w:eastAsia="仿宋_GB2312"/>
          <w:color w:val="auto"/>
          <w:sz w:val="36"/>
          <w:szCs w:val="36"/>
          <w:highlight w:val="none"/>
          <w:u w:val="single"/>
          <w:lang w:val="en-US" w:eastAsia="zh-CN"/>
        </w:rPr>
        <w:t>5</w:t>
      </w:r>
      <w:r>
        <w:rPr>
          <w:rFonts w:hint="eastAsia" w:ascii="仿宋_GB2312" w:eastAsia="仿宋_GB2312"/>
          <w:color w:val="auto"/>
          <w:sz w:val="36"/>
          <w:szCs w:val="36"/>
          <w:highlight w:val="none"/>
          <w:u w:val="single"/>
        </w:rPr>
        <w:t>年</w:t>
      </w:r>
      <w:r>
        <w:rPr>
          <w:rFonts w:hint="eastAsia" w:ascii="仿宋_GB2312" w:eastAsia="仿宋_GB2312"/>
          <w:color w:val="auto"/>
          <w:sz w:val="36"/>
          <w:szCs w:val="36"/>
          <w:highlight w:val="none"/>
          <w:u w:val="single"/>
          <w:lang w:val="en-US" w:eastAsia="zh-CN"/>
        </w:rPr>
        <w:t xml:space="preserve"> 1 </w:t>
      </w:r>
      <w:r>
        <w:rPr>
          <w:rFonts w:hint="eastAsia" w:ascii="仿宋_GB2312" w:eastAsia="仿宋_GB2312"/>
          <w:color w:val="auto"/>
          <w:sz w:val="36"/>
          <w:szCs w:val="36"/>
          <w:highlight w:val="none"/>
          <w:u w:val="single"/>
        </w:rPr>
        <w:t>月</w:t>
      </w:r>
      <w:r>
        <w:rPr>
          <w:rFonts w:ascii="仿宋_GB2312" w:eastAsia="仿宋_GB2312"/>
          <w:color w:val="auto"/>
          <w:sz w:val="36"/>
          <w:szCs w:val="36"/>
          <w:highlight w:val="none"/>
          <w:u w:val="single"/>
        </w:rPr>
        <w:t xml:space="preserve">             </w:t>
      </w:r>
    </w:p>
    <w:p w14:paraId="3C286278">
      <w:pPr>
        <w:adjustRightInd w:val="0"/>
        <w:snapToGrid w:val="0"/>
        <w:spacing w:line="288" w:lineRule="auto"/>
        <w:ind w:firstLine="1040"/>
        <w:rPr>
          <w:rFonts w:ascii="仿宋_GB2312" w:eastAsia="仿宋_GB2312"/>
          <w:color w:val="auto"/>
          <w:sz w:val="36"/>
          <w:szCs w:val="36"/>
          <w:highlight w:val="none"/>
          <w:u w:val="single"/>
        </w:rPr>
      </w:pPr>
      <w:bookmarkStart w:id="1" w:name="_Hlk57884087"/>
    </w:p>
    <w:p w14:paraId="56A59277">
      <w:pPr>
        <w:adjustRightInd w:val="0"/>
        <w:snapToGrid w:val="0"/>
        <w:spacing w:line="288" w:lineRule="auto"/>
        <w:ind w:firstLine="1040"/>
        <w:rPr>
          <w:rFonts w:ascii="仿宋_GB2312" w:eastAsia="仿宋_GB2312"/>
          <w:color w:val="auto"/>
          <w:sz w:val="36"/>
          <w:szCs w:val="36"/>
          <w:highlight w:val="none"/>
        </w:rPr>
      </w:pPr>
    </w:p>
    <w:p w14:paraId="775B7ABF">
      <w:pPr>
        <w:adjustRightInd w:val="0"/>
        <w:snapToGrid w:val="0"/>
        <w:spacing w:line="288" w:lineRule="auto"/>
        <w:ind w:firstLine="1040"/>
        <w:rPr>
          <w:rFonts w:ascii="仿宋_GB2312" w:eastAsia="仿宋_GB2312"/>
          <w:color w:val="auto"/>
          <w:sz w:val="36"/>
          <w:szCs w:val="36"/>
          <w:highlight w:val="none"/>
        </w:rPr>
      </w:pPr>
    </w:p>
    <w:p w14:paraId="4791FA25">
      <w:pPr>
        <w:pStyle w:val="65"/>
        <w:ind w:firstLine="720"/>
        <w:rPr>
          <w:rFonts w:ascii="仿宋_GB2312" w:eastAsia="仿宋_GB2312"/>
          <w:color w:val="auto"/>
          <w:sz w:val="36"/>
          <w:szCs w:val="36"/>
          <w:highlight w:val="none"/>
        </w:rPr>
      </w:pPr>
    </w:p>
    <w:p w14:paraId="03290B4A">
      <w:pPr>
        <w:pStyle w:val="65"/>
        <w:ind w:firstLine="720"/>
        <w:rPr>
          <w:rFonts w:ascii="仿宋_GB2312" w:eastAsia="仿宋_GB2312"/>
          <w:color w:val="auto"/>
          <w:sz w:val="36"/>
          <w:szCs w:val="36"/>
          <w:highlight w:val="none"/>
        </w:rPr>
      </w:pPr>
    </w:p>
    <w:p w14:paraId="76FD9469">
      <w:pPr>
        <w:adjustRightInd w:val="0"/>
        <w:snapToGrid w:val="0"/>
        <w:spacing w:line="288" w:lineRule="auto"/>
        <w:ind w:firstLine="1040"/>
        <w:rPr>
          <w:rFonts w:ascii="仿宋_GB2312" w:eastAsia="仿宋_GB2312"/>
          <w:color w:val="auto"/>
          <w:sz w:val="36"/>
          <w:szCs w:val="36"/>
          <w:highlight w:val="none"/>
        </w:rPr>
      </w:pPr>
    </w:p>
    <w:bookmarkEnd w:id="1"/>
    <w:p w14:paraId="2F2B2FE1">
      <w:pPr>
        <w:adjustRightInd w:val="0"/>
        <w:snapToGrid w:val="0"/>
        <w:spacing w:line="288" w:lineRule="auto"/>
        <w:jc w:val="center"/>
        <w:rPr>
          <w:rFonts w:ascii="楷体_GB2312" w:eastAsia="楷体_GB2312"/>
          <w:color w:val="auto"/>
          <w:sz w:val="36"/>
          <w:szCs w:val="36"/>
          <w:highlight w:val="none"/>
        </w:rPr>
      </w:pPr>
      <w:r>
        <w:rPr>
          <w:rFonts w:hint="eastAsia" w:ascii="楷体_GB2312" w:eastAsia="楷体_GB2312"/>
          <w:color w:val="auto"/>
          <w:sz w:val="36"/>
          <w:szCs w:val="36"/>
          <w:highlight w:val="none"/>
        </w:rPr>
        <w:t>中华人民共和国生态环境部制</w:t>
      </w:r>
    </w:p>
    <w:p w14:paraId="0961630C">
      <w:pPr>
        <w:pStyle w:val="61"/>
        <w:jc w:val="both"/>
        <w:outlineLvl w:val="0"/>
        <w:rPr>
          <w:rFonts w:ascii="Times New Roman" w:hAnsi="Times New Roman" w:eastAsia="黑体"/>
          <w:snapToGrid w:val="0"/>
          <w:color w:val="auto"/>
          <w:sz w:val="30"/>
          <w:szCs w:val="30"/>
          <w:highlight w:val="none"/>
        </w:rPr>
        <w:sectPr>
          <w:footerReference r:id="rId3" w:type="default"/>
          <w:pgSz w:w="11906" w:h="16838"/>
          <w:pgMar w:top="1701" w:right="1531" w:bottom="1701" w:left="1531" w:header="851" w:footer="1077" w:gutter="0"/>
          <w:pgNumType w:start="1"/>
          <w:cols w:space="720" w:num="1"/>
          <w:docGrid w:linePitch="312" w:charSpace="0"/>
        </w:sectPr>
      </w:pPr>
    </w:p>
    <w:p w14:paraId="6122248C">
      <w:pPr>
        <w:pStyle w:val="61"/>
        <w:jc w:val="center"/>
        <w:outlineLvl w:val="0"/>
        <w:rPr>
          <w:rFonts w:hint="eastAsia" w:ascii="Times New Roman" w:hAnsi="Times New Roman" w:eastAsia="黑体"/>
          <w:snapToGrid w:val="0"/>
          <w:color w:val="auto"/>
          <w:sz w:val="30"/>
          <w:szCs w:val="30"/>
          <w:highlight w:val="none"/>
          <w:lang w:eastAsia="zh-CN"/>
        </w:rPr>
      </w:pPr>
    </w:p>
    <w:p w14:paraId="017DB952">
      <w:pPr>
        <w:pStyle w:val="61"/>
        <w:jc w:val="center"/>
        <w:outlineLvl w:val="0"/>
        <w:rPr>
          <w:rFonts w:ascii="Times New Roman" w:hAnsi="Times New Roman" w:eastAsia="黑体"/>
          <w:snapToGrid w:val="0"/>
          <w:color w:val="auto"/>
          <w:sz w:val="30"/>
          <w:szCs w:val="30"/>
          <w:highlight w:val="none"/>
        </w:rPr>
        <w:sectPr>
          <w:headerReference r:id="rId4" w:type="default"/>
          <w:footerReference r:id="rId5" w:type="default"/>
          <w:pgSz w:w="11906" w:h="16838"/>
          <w:pgMar w:top="1701" w:right="1531" w:bottom="1701" w:left="1531" w:header="851" w:footer="1077" w:gutter="0"/>
          <w:pgNumType w:start="1"/>
          <w:cols w:space="720" w:num="1"/>
          <w:docGrid w:linePitch="312" w:charSpace="0"/>
        </w:sectPr>
      </w:pPr>
    </w:p>
    <w:p w14:paraId="2E192615">
      <w:pPr>
        <w:pStyle w:val="61"/>
        <w:jc w:val="both"/>
        <w:outlineLvl w:val="0"/>
        <w:rPr>
          <w:rFonts w:hint="default" w:ascii="Times New Roman" w:hAnsi="Times New Roman" w:eastAsia="黑体" w:cs="Times New Roman"/>
          <w:snapToGrid w:val="0"/>
          <w:color w:val="auto"/>
          <w:sz w:val="30"/>
          <w:szCs w:val="30"/>
          <w:highlight w:val="none"/>
        </w:rPr>
      </w:pPr>
      <w:r>
        <w:rPr>
          <w:rFonts w:hint="eastAsia" w:ascii="Times New Roman" w:hAnsi="Times New Roman" w:eastAsia="黑体"/>
          <w:snapToGrid w:val="0"/>
          <w:color w:val="auto"/>
          <w:sz w:val="30"/>
          <w:szCs w:val="30"/>
          <w:highlight w:val="none"/>
        </w:rPr>
        <w:t>公示网站</w:t>
      </w:r>
      <w:r>
        <w:rPr>
          <w:rFonts w:hint="default" w:ascii="Times New Roman" w:hAnsi="Times New Roman" w:eastAsia="黑体" w:cs="Times New Roman"/>
          <w:snapToGrid w:val="0"/>
          <w:color w:val="auto"/>
          <w:sz w:val="30"/>
          <w:szCs w:val="30"/>
          <w:highlight w:val="none"/>
        </w:rPr>
        <w:t>：h</w:t>
      </w:r>
      <w:r>
        <w:rPr>
          <w:rFonts w:hint="default" w:ascii="Times New Roman" w:hAnsi="Times New Roman" w:eastAsia="黑体" w:cs="Times New Roman"/>
          <w:snapToGrid w:val="0"/>
          <w:color w:val="0000FF"/>
          <w:sz w:val="30"/>
          <w:szCs w:val="30"/>
          <w:highlight w:val="none"/>
        </w:rPr>
        <w:t>ttp://www.zscjhb.com/new_info.html?article_id=10639</w:t>
      </w:r>
    </w:p>
    <w:p w14:paraId="7D0E46CE">
      <w:pPr>
        <w:pStyle w:val="61"/>
        <w:jc w:val="both"/>
        <w:outlineLvl w:val="0"/>
        <w:rPr>
          <w:rFonts w:hint="eastAsia" w:ascii="Times New Roman" w:hAnsi="Times New Roman" w:eastAsia="黑体"/>
          <w:snapToGrid w:val="0"/>
          <w:color w:val="auto"/>
          <w:sz w:val="30"/>
          <w:szCs w:val="30"/>
          <w:highlight w:val="none"/>
        </w:rPr>
      </w:pPr>
      <w:r>
        <w:rPr>
          <w:rFonts w:hint="eastAsia" w:ascii="Times New Roman" w:hAnsi="Times New Roman" w:eastAsia="黑体"/>
          <w:snapToGrid w:val="0"/>
          <w:color w:val="auto"/>
          <w:sz w:val="30"/>
          <w:szCs w:val="30"/>
          <w:highlight w:val="none"/>
        </w:rPr>
        <w:t>公示内容：</w:t>
      </w:r>
    </w:p>
    <w:p w14:paraId="5B0BE37C">
      <w:pPr>
        <w:pStyle w:val="61"/>
        <w:jc w:val="center"/>
        <w:outlineLvl w:val="0"/>
        <w:rPr>
          <w:rFonts w:hint="eastAsia" w:ascii="Times New Roman" w:hAnsi="Times New Roman" w:eastAsia="黑体"/>
          <w:snapToGrid w:val="0"/>
          <w:color w:val="auto"/>
          <w:sz w:val="30"/>
          <w:szCs w:val="30"/>
          <w:highlight w:val="none"/>
        </w:rPr>
      </w:pPr>
    </w:p>
    <w:p w14:paraId="0AE07463">
      <w:pPr>
        <w:pStyle w:val="61"/>
        <w:jc w:val="center"/>
        <w:outlineLvl w:val="0"/>
        <w:rPr>
          <w:rFonts w:hint="eastAsia" w:ascii="Times New Roman" w:hAnsi="Times New Roman" w:eastAsia="黑体"/>
          <w:snapToGrid w:val="0"/>
          <w:color w:val="auto"/>
          <w:sz w:val="30"/>
          <w:szCs w:val="30"/>
          <w:highlight w:val="none"/>
        </w:rPr>
        <w:sectPr>
          <w:pgSz w:w="16838" w:h="11906" w:orient="landscape"/>
          <w:pgMar w:top="1531" w:right="1701" w:bottom="1531" w:left="1701" w:header="851" w:footer="1077" w:gutter="0"/>
          <w:pgNumType w:start="1"/>
          <w:cols w:space="720" w:num="1"/>
          <w:docGrid w:linePitch="312" w:charSpace="0"/>
        </w:sectPr>
      </w:pPr>
    </w:p>
    <w:p w14:paraId="6DE9FE07">
      <w:pPr>
        <w:pStyle w:val="6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一、建设项目基本情况</w:t>
      </w:r>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719"/>
        <w:gridCol w:w="2300"/>
        <w:gridCol w:w="2212"/>
        <w:gridCol w:w="2639"/>
      </w:tblGrid>
      <w:tr w14:paraId="605A4C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512" w:hRule="atLeast"/>
          <w:jc w:val="center"/>
        </w:trPr>
        <w:tc>
          <w:tcPr>
            <w:tcW w:w="1719" w:type="dxa"/>
            <w:shd w:val="clear" w:color="auto" w:fill="auto"/>
            <w:tcMar>
              <w:top w:w="16" w:type="dxa"/>
              <w:left w:w="16" w:type="dxa"/>
              <w:bottom w:w="0" w:type="dxa"/>
              <w:right w:w="16" w:type="dxa"/>
            </w:tcMar>
            <w:vAlign w:val="center"/>
          </w:tcPr>
          <w:p w14:paraId="7BDFDD86">
            <w:pPr>
              <w:adjustRightInd w:val="0"/>
              <w:snapToGrid w:val="0"/>
              <w:jc w:val="center"/>
              <w:rPr>
                <w:color w:val="auto"/>
                <w:sz w:val="24"/>
                <w:highlight w:val="none"/>
              </w:rPr>
            </w:pPr>
            <w:r>
              <w:rPr>
                <w:color w:val="auto"/>
                <w:sz w:val="24"/>
                <w:highlight w:val="none"/>
              </w:rPr>
              <w:t>建设项目名称</w:t>
            </w:r>
          </w:p>
        </w:tc>
        <w:tc>
          <w:tcPr>
            <w:tcW w:w="7151" w:type="dxa"/>
            <w:gridSpan w:val="3"/>
            <w:shd w:val="clear" w:color="auto" w:fill="auto"/>
            <w:vAlign w:val="center"/>
          </w:tcPr>
          <w:p w14:paraId="05461408">
            <w:pPr>
              <w:adjustRightInd w:val="0"/>
              <w:snapToGrid w:val="0"/>
              <w:jc w:val="center"/>
              <w:rPr>
                <w:rFonts w:hint="eastAsia" w:eastAsia="宋体"/>
                <w:color w:val="auto"/>
                <w:sz w:val="24"/>
                <w:highlight w:val="none"/>
                <w:lang w:eastAsia="zh-CN"/>
              </w:rPr>
            </w:pPr>
            <w:r>
              <w:rPr>
                <w:rFonts w:hint="eastAsia"/>
                <w:color w:val="auto"/>
                <w:sz w:val="24"/>
                <w:highlight w:val="none"/>
                <w:lang w:eastAsia="zh-CN"/>
              </w:rPr>
              <w:t>中山市顺楷电器有限公司年产塑料配件100万套新建项目</w:t>
            </w:r>
          </w:p>
        </w:tc>
      </w:tr>
      <w:tr w14:paraId="1C2F4E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24B772BC">
            <w:pPr>
              <w:adjustRightInd w:val="0"/>
              <w:snapToGrid w:val="0"/>
              <w:jc w:val="center"/>
              <w:rPr>
                <w:color w:val="auto"/>
                <w:sz w:val="24"/>
                <w:highlight w:val="none"/>
              </w:rPr>
            </w:pPr>
            <w:r>
              <w:rPr>
                <w:color w:val="auto"/>
                <w:sz w:val="24"/>
                <w:highlight w:val="none"/>
              </w:rPr>
              <w:t>项目代码</w:t>
            </w:r>
          </w:p>
        </w:tc>
        <w:tc>
          <w:tcPr>
            <w:tcW w:w="7151" w:type="dxa"/>
            <w:gridSpan w:val="3"/>
            <w:shd w:val="clear" w:color="auto" w:fill="auto"/>
            <w:vAlign w:val="center"/>
          </w:tcPr>
          <w:p w14:paraId="6112A1AC">
            <w:pPr>
              <w:adjustRightInd w:val="0"/>
              <w:snapToGrid w:val="0"/>
              <w:jc w:val="center"/>
              <w:rPr>
                <w:rFonts w:hint="eastAsia" w:ascii="Times New Roman" w:hAnsi="Times New Roman" w:eastAsia="宋体" w:cs="Times New Roman"/>
                <w:color w:val="auto"/>
                <w:sz w:val="24"/>
                <w:highlight w:val="none"/>
              </w:rPr>
            </w:pPr>
          </w:p>
        </w:tc>
      </w:tr>
      <w:tr w14:paraId="057D24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63AD38E3">
            <w:pPr>
              <w:adjustRightInd w:val="0"/>
              <w:snapToGrid w:val="0"/>
              <w:jc w:val="center"/>
              <w:rPr>
                <w:color w:val="auto"/>
                <w:sz w:val="24"/>
                <w:highlight w:val="none"/>
              </w:rPr>
            </w:pPr>
            <w:r>
              <w:rPr>
                <w:color w:val="auto"/>
                <w:sz w:val="24"/>
                <w:highlight w:val="none"/>
              </w:rPr>
              <w:t>建设单位联系人</w:t>
            </w:r>
          </w:p>
        </w:tc>
        <w:tc>
          <w:tcPr>
            <w:tcW w:w="2300" w:type="dxa"/>
            <w:shd w:val="clear" w:color="auto" w:fill="auto"/>
            <w:vAlign w:val="center"/>
          </w:tcPr>
          <w:p w14:paraId="58169700">
            <w:pPr>
              <w:adjustRightInd w:val="0"/>
              <w:snapToGrid w:val="0"/>
              <w:jc w:val="center"/>
              <w:rPr>
                <w:rFonts w:hint="eastAsia" w:ascii="Times New Roman" w:hAnsi="Times New Roman" w:eastAsia="宋体" w:cs="Times New Roman"/>
                <w:color w:val="auto"/>
                <w:sz w:val="24"/>
                <w:highlight w:val="none"/>
                <w:lang w:eastAsia="zh-CN"/>
              </w:rPr>
            </w:pPr>
            <w:r>
              <w:rPr>
                <w:rFonts w:hint="eastAsia" w:eastAsia="宋体" w:cs="Arial"/>
                <w:sz w:val="24"/>
                <w:lang w:val="en-US" w:eastAsia="zh-CN"/>
              </w:rPr>
              <w:t>许飞龙</w:t>
            </w:r>
          </w:p>
        </w:tc>
        <w:tc>
          <w:tcPr>
            <w:tcW w:w="2212" w:type="dxa"/>
            <w:shd w:val="clear" w:color="auto" w:fill="auto"/>
            <w:vAlign w:val="center"/>
          </w:tcPr>
          <w:p w14:paraId="2037A10E">
            <w:pPr>
              <w:adjustRightInd w:val="0"/>
              <w:snapToGrid w:val="0"/>
              <w:jc w:val="center"/>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联系方式</w:t>
            </w:r>
          </w:p>
        </w:tc>
        <w:tc>
          <w:tcPr>
            <w:tcW w:w="2639" w:type="dxa"/>
            <w:shd w:val="clear" w:color="auto" w:fill="auto"/>
            <w:vAlign w:val="center"/>
          </w:tcPr>
          <w:p w14:paraId="7016BB7D">
            <w:pPr>
              <w:adjustRightInd w:val="0"/>
              <w:snapToGrid w:val="0"/>
              <w:jc w:val="center"/>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18923213756</w:t>
            </w:r>
          </w:p>
        </w:tc>
      </w:tr>
      <w:tr w14:paraId="5D60D6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517F0CA0">
            <w:pPr>
              <w:adjustRightInd w:val="0"/>
              <w:snapToGrid w:val="0"/>
              <w:jc w:val="center"/>
              <w:rPr>
                <w:color w:val="auto"/>
                <w:sz w:val="24"/>
                <w:highlight w:val="none"/>
              </w:rPr>
            </w:pPr>
            <w:r>
              <w:rPr>
                <w:color w:val="auto"/>
                <w:sz w:val="24"/>
                <w:highlight w:val="none"/>
              </w:rPr>
              <w:t>建设地点</w:t>
            </w:r>
          </w:p>
        </w:tc>
        <w:tc>
          <w:tcPr>
            <w:tcW w:w="7151" w:type="dxa"/>
            <w:gridSpan w:val="3"/>
            <w:shd w:val="clear" w:color="auto" w:fill="auto"/>
            <w:vAlign w:val="center"/>
          </w:tcPr>
          <w:p w14:paraId="184D39FB">
            <w:pPr>
              <w:adjustRightInd w:val="0"/>
              <w:snapToGrid w:val="0"/>
              <w:jc w:val="center"/>
              <w:rPr>
                <w:rFonts w:hint="eastAsia" w:ascii="Times New Roman" w:hAnsi="Times New Roman" w:eastAsia="宋体" w:cs="Times New Roman"/>
                <w:color w:val="auto"/>
                <w:sz w:val="24"/>
                <w:highlight w:val="none"/>
                <w:lang w:eastAsia="zh-CN"/>
              </w:rPr>
            </w:pPr>
            <w:r>
              <w:rPr>
                <w:rFonts w:hint="eastAsia" w:eastAsia="宋体" w:cs="Arial"/>
                <w:sz w:val="24"/>
                <w:lang w:eastAsia="zh-CN"/>
              </w:rPr>
              <w:t>中山市东凤镇同安村同安大道东路展业十九巷11号三楼之一</w:t>
            </w:r>
          </w:p>
        </w:tc>
      </w:tr>
      <w:tr w14:paraId="27A930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2051C802">
            <w:pPr>
              <w:adjustRightInd w:val="0"/>
              <w:snapToGrid w:val="0"/>
              <w:jc w:val="center"/>
              <w:rPr>
                <w:color w:val="auto"/>
                <w:sz w:val="24"/>
                <w:highlight w:val="none"/>
              </w:rPr>
            </w:pPr>
            <w:r>
              <w:rPr>
                <w:color w:val="auto"/>
                <w:sz w:val="24"/>
                <w:highlight w:val="none"/>
              </w:rPr>
              <w:t>地理坐标</w:t>
            </w:r>
          </w:p>
        </w:tc>
        <w:tc>
          <w:tcPr>
            <w:tcW w:w="7151" w:type="dxa"/>
            <w:gridSpan w:val="3"/>
            <w:shd w:val="clear" w:color="auto" w:fill="auto"/>
            <w:vAlign w:val="center"/>
          </w:tcPr>
          <w:p w14:paraId="09AA88C1">
            <w:pPr>
              <w:adjustRightInd w:val="0"/>
              <w:snapToGrid w:val="0"/>
              <w:jc w:val="center"/>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w:t>
            </w:r>
            <w:r>
              <w:rPr>
                <w:rFonts w:hint="eastAsia" w:cs="Times New Roman"/>
                <w:color w:val="auto"/>
                <w:sz w:val="24"/>
                <w:highlight w:val="none"/>
                <w:lang w:eastAsia="zh-CN"/>
              </w:rPr>
              <w:t>东经：113°15′25.220″，北纬：22°43′19.795″</w:t>
            </w:r>
            <w:r>
              <w:rPr>
                <w:rFonts w:hint="eastAsia" w:ascii="Times New Roman" w:hAnsi="Times New Roman" w:eastAsia="宋体" w:cs="Times New Roman"/>
                <w:color w:val="auto"/>
                <w:sz w:val="24"/>
                <w:highlight w:val="none"/>
              </w:rPr>
              <w:t>）</w:t>
            </w:r>
          </w:p>
        </w:tc>
      </w:tr>
      <w:tr w14:paraId="143079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561" w:hRule="atLeast"/>
          <w:jc w:val="center"/>
        </w:trPr>
        <w:tc>
          <w:tcPr>
            <w:tcW w:w="1719" w:type="dxa"/>
            <w:shd w:val="clear" w:color="auto" w:fill="auto"/>
            <w:tcMar>
              <w:top w:w="16" w:type="dxa"/>
              <w:left w:w="16" w:type="dxa"/>
              <w:bottom w:w="0" w:type="dxa"/>
              <w:right w:w="16" w:type="dxa"/>
            </w:tcMar>
            <w:vAlign w:val="center"/>
          </w:tcPr>
          <w:p w14:paraId="5E2ADA4E">
            <w:pPr>
              <w:adjustRightInd w:val="0"/>
              <w:snapToGrid w:val="0"/>
              <w:jc w:val="center"/>
              <w:rPr>
                <w:color w:val="auto"/>
                <w:sz w:val="24"/>
                <w:highlight w:val="none"/>
              </w:rPr>
            </w:pPr>
            <w:r>
              <w:rPr>
                <w:color w:val="auto"/>
                <w:sz w:val="24"/>
                <w:highlight w:val="none"/>
              </w:rPr>
              <w:t>国民经济</w:t>
            </w:r>
          </w:p>
          <w:p w14:paraId="2BA4CAD4">
            <w:pPr>
              <w:adjustRightInd w:val="0"/>
              <w:snapToGrid w:val="0"/>
              <w:jc w:val="center"/>
              <w:rPr>
                <w:color w:val="auto"/>
                <w:sz w:val="24"/>
                <w:highlight w:val="none"/>
              </w:rPr>
            </w:pPr>
            <w:r>
              <w:rPr>
                <w:color w:val="auto"/>
                <w:sz w:val="24"/>
                <w:highlight w:val="none"/>
              </w:rPr>
              <w:t>行业类别</w:t>
            </w:r>
          </w:p>
        </w:tc>
        <w:tc>
          <w:tcPr>
            <w:tcW w:w="2300" w:type="dxa"/>
            <w:shd w:val="clear" w:color="auto" w:fill="auto"/>
            <w:vAlign w:val="center"/>
          </w:tcPr>
          <w:p w14:paraId="3A95A205">
            <w:pPr>
              <w:adjustRightInd w:val="0"/>
              <w:snapToGrid w:val="0"/>
              <w:jc w:val="center"/>
              <w:rPr>
                <w:rFonts w:hint="default" w:eastAsia="宋体"/>
                <w:color w:val="auto"/>
                <w:sz w:val="24"/>
                <w:highlight w:val="none"/>
                <w:lang w:val="en-US" w:eastAsia="zh-CN"/>
              </w:rPr>
            </w:pPr>
            <w:r>
              <w:rPr>
                <w:color w:val="auto"/>
                <w:sz w:val="24"/>
              </w:rPr>
              <w:t>C2929塑料零件及其他塑料制品制造</w:t>
            </w:r>
          </w:p>
        </w:tc>
        <w:tc>
          <w:tcPr>
            <w:tcW w:w="2212" w:type="dxa"/>
            <w:shd w:val="clear" w:color="auto" w:fill="auto"/>
            <w:vAlign w:val="center"/>
          </w:tcPr>
          <w:p w14:paraId="6E1A7119">
            <w:pPr>
              <w:adjustRightInd w:val="0"/>
              <w:snapToGrid w:val="0"/>
              <w:jc w:val="center"/>
              <w:rPr>
                <w:color w:val="auto"/>
                <w:sz w:val="24"/>
                <w:highlight w:val="none"/>
              </w:rPr>
            </w:pPr>
            <w:bookmarkStart w:id="2" w:name="_Hlk49843745"/>
            <w:r>
              <w:rPr>
                <w:color w:val="auto"/>
                <w:sz w:val="24"/>
                <w:highlight w:val="none"/>
              </w:rPr>
              <w:t>建设项目</w:t>
            </w:r>
          </w:p>
          <w:p w14:paraId="4E50D492">
            <w:pPr>
              <w:adjustRightInd w:val="0"/>
              <w:snapToGrid w:val="0"/>
              <w:jc w:val="center"/>
              <w:rPr>
                <w:color w:val="auto"/>
                <w:sz w:val="24"/>
                <w:highlight w:val="none"/>
              </w:rPr>
            </w:pPr>
            <w:r>
              <w:rPr>
                <w:color w:val="auto"/>
                <w:sz w:val="24"/>
                <w:highlight w:val="none"/>
              </w:rPr>
              <w:t>行业类别</w:t>
            </w:r>
            <w:bookmarkEnd w:id="2"/>
          </w:p>
        </w:tc>
        <w:tc>
          <w:tcPr>
            <w:tcW w:w="2639" w:type="dxa"/>
            <w:shd w:val="clear" w:color="auto" w:fill="auto"/>
            <w:vAlign w:val="center"/>
          </w:tcPr>
          <w:p w14:paraId="32FED41D">
            <w:pPr>
              <w:spacing w:beforeLines="0" w:afterLines="0"/>
              <w:jc w:val="left"/>
              <w:rPr>
                <w:rFonts w:hint="eastAsia" w:eastAsia="宋体"/>
                <w:color w:val="auto"/>
                <w:sz w:val="24"/>
                <w:highlight w:val="none"/>
                <w:lang w:eastAsia="zh-CN"/>
              </w:rPr>
            </w:pPr>
            <w:r>
              <w:rPr>
                <w:color w:val="auto"/>
                <w:sz w:val="24"/>
              </w:rPr>
              <w:t>二十六、53塑料制品业 292中的</w:t>
            </w:r>
            <w:r>
              <w:rPr>
                <w:rFonts w:hint="eastAsia"/>
                <w:color w:val="auto"/>
                <w:sz w:val="24"/>
              </w:rPr>
              <w:t>“</w:t>
            </w:r>
            <w:r>
              <w:rPr>
                <w:color w:val="auto"/>
                <w:sz w:val="24"/>
              </w:rPr>
              <w:t>其他（年用非溶剂型低VOCs含量涂料 10吨以下的除外）</w:t>
            </w:r>
            <w:r>
              <w:rPr>
                <w:rFonts w:hint="eastAsia"/>
                <w:color w:val="auto"/>
                <w:sz w:val="24"/>
              </w:rPr>
              <w:t>”</w:t>
            </w:r>
          </w:p>
        </w:tc>
      </w:tr>
      <w:tr w14:paraId="7ED736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19" w:type="dxa"/>
            <w:shd w:val="clear" w:color="auto" w:fill="auto"/>
            <w:tcMar>
              <w:top w:w="16" w:type="dxa"/>
              <w:left w:w="16" w:type="dxa"/>
              <w:bottom w:w="0" w:type="dxa"/>
              <w:right w:w="16" w:type="dxa"/>
            </w:tcMar>
            <w:vAlign w:val="center"/>
          </w:tcPr>
          <w:p w14:paraId="19FF1E28">
            <w:pPr>
              <w:adjustRightInd w:val="0"/>
              <w:snapToGrid w:val="0"/>
              <w:jc w:val="center"/>
              <w:rPr>
                <w:color w:val="auto"/>
                <w:sz w:val="24"/>
                <w:highlight w:val="none"/>
              </w:rPr>
            </w:pPr>
            <w:r>
              <w:rPr>
                <w:color w:val="auto"/>
                <w:sz w:val="24"/>
                <w:highlight w:val="none"/>
              </w:rPr>
              <w:t>建设性质</w:t>
            </w:r>
          </w:p>
        </w:tc>
        <w:tc>
          <w:tcPr>
            <w:tcW w:w="2300" w:type="dxa"/>
            <w:shd w:val="clear" w:color="auto" w:fill="auto"/>
            <w:vAlign w:val="center"/>
          </w:tcPr>
          <w:p w14:paraId="0418AF90">
            <w:pPr>
              <w:jc w:val="left"/>
              <w:rPr>
                <w:color w:val="auto"/>
                <w:sz w:val="24"/>
                <w:highlight w:val="none"/>
              </w:rPr>
            </w:pPr>
            <w:r>
              <w:rPr>
                <w:color w:val="auto"/>
                <w:sz w:val="24"/>
                <w:highlight w:val="none"/>
              </w:rPr>
              <w:t>☑新建（迁建）</w:t>
            </w:r>
          </w:p>
          <w:p w14:paraId="0D75EBDD">
            <w:pPr>
              <w:jc w:val="left"/>
              <w:rPr>
                <w:color w:val="auto"/>
                <w:sz w:val="24"/>
                <w:highlight w:val="none"/>
              </w:rPr>
            </w:pPr>
            <w:r>
              <w:rPr>
                <w:rFonts w:ascii="Wingdings 2" w:hAnsi="Wingdings 2"/>
                <w:color w:val="auto"/>
                <w:sz w:val="24"/>
                <w:highlight w:val="none"/>
              </w:rPr>
              <w:sym w:font="Wingdings 2" w:char="00A3"/>
            </w:r>
            <w:r>
              <w:rPr>
                <w:color w:val="auto"/>
                <w:sz w:val="24"/>
                <w:highlight w:val="none"/>
              </w:rPr>
              <w:t>改建</w:t>
            </w:r>
          </w:p>
          <w:p w14:paraId="2B9EC3DE">
            <w:pPr>
              <w:jc w:val="left"/>
              <w:rPr>
                <w:color w:val="auto"/>
                <w:sz w:val="24"/>
                <w:highlight w:val="none"/>
              </w:rPr>
            </w:pPr>
            <w:r>
              <w:rPr>
                <w:rFonts w:ascii="Wingdings 2" w:hAnsi="Wingdings 2"/>
                <w:color w:val="auto"/>
                <w:sz w:val="24"/>
                <w:highlight w:val="none"/>
              </w:rPr>
              <w:sym w:font="Wingdings 2" w:char="00A3"/>
            </w:r>
            <w:r>
              <w:rPr>
                <w:color w:val="auto"/>
                <w:sz w:val="24"/>
                <w:highlight w:val="none"/>
              </w:rPr>
              <w:t>扩建</w:t>
            </w:r>
          </w:p>
          <w:p w14:paraId="64EDE271">
            <w:pPr>
              <w:jc w:val="left"/>
              <w:rPr>
                <w:color w:val="auto"/>
                <w:sz w:val="24"/>
                <w:highlight w:val="none"/>
              </w:rPr>
            </w:pPr>
            <w:r>
              <w:rPr>
                <w:rFonts w:ascii="Wingdings 2" w:hAnsi="Wingdings 2"/>
                <w:color w:val="auto"/>
                <w:sz w:val="24"/>
                <w:highlight w:val="none"/>
              </w:rPr>
              <w:sym w:font="Wingdings 2" w:char="00A3"/>
            </w:r>
            <w:r>
              <w:rPr>
                <w:color w:val="auto"/>
                <w:sz w:val="24"/>
                <w:highlight w:val="none"/>
              </w:rPr>
              <w:t>技术改造</w:t>
            </w:r>
          </w:p>
        </w:tc>
        <w:tc>
          <w:tcPr>
            <w:tcW w:w="2212" w:type="dxa"/>
            <w:shd w:val="clear" w:color="auto" w:fill="auto"/>
            <w:vAlign w:val="center"/>
          </w:tcPr>
          <w:p w14:paraId="2665601D">
            <w:pPr>
              <w:adjustRightInd w:val="0"/>
              <w:snapToGrid w:val="0"/>
              <w:jc w:val="center"/>
              <w:rPr>
                <w:color w:val="auto"/>
                <w:sz w:val="24"/>
                <w:highlight w:val="none"/>
              </w:rPr>
            </w:pPr>
            <w:r>
              <w:rPr>
                <w:color w:val="auto"/>
                <w:sz w:val="24"/>
                <w:highlight w:val="none"/>
              </w:rPr>
              <w:t>建设项目</w:t>
            </w:r>
          </w:p>
          <w:p w14:paraId="7838B22A">
            <w:pPr>
              <w:adjustRightInd w:val="0"/>
              <w:snapToGrid w:val="0"/>
              <w:jc w:val="center"/>
              <w:rPr>
                <w:color w:val="auto"/>
                <w:sz w:val="24"/>
                <w:highlight w:val="none"/>
              </w:rPr>
            </w:pPr>
            <w:r>
              <w:rPr>
                <w:color w:val="auto"/>
                <w:sz w:val="24"/>
                <w:highlight w:val="none"/>
              </w:rPr>
              <w:t>申报情形</w:t>
            </w:r>
          </w:p>
        </w:tc>
        <w:tc>
          <w:tcPr>
            <w:tcW w:w="2639" w:type="dxa"/>
            <w:shd w:val="clear" w:color="auto" w:fill="auto"/>
            <w:vAlign w:val="center"/>
          </w:tcPr>
          <w:p w14:paraId="3A1A6A4B">
            <w:pPr>
              <w:jc w:val="left"/>
              <w:rPr>
                <w:color w:val="auto"/>
                <w:sz w:val="24"/>
                <w:highlight w:val="none"/>
              </w:rPr>
            </w:pPr>
            <w:r>
              <w:rPr>
                <w:color w:val="auto"/>
                <w:sz w:val="24"/>
                <w:highlight w:val="none"/>
              </w:rPr>
              <w:t>☑首次申报项目</w:t>
            </w:r>
          </w:p>
          <w:p w14:paraId="64458611">
            <w:pPr>
              <w:jc w:val="left"/>
              <w:rPr>
                <w:color w:val="auto"/>
                <w:sz w:val="24"/>
                <w:highlight w:val="none"/>
              </w:rPr>
            </w:pPr>
            <w:r>
              <w:rPr>
                <w:rFonts w:ascii="Wingdings 2" w:hAnsi="Wingdings 2"/>
                <w:color w:val="auto"/>
                <w:sz w:val="24"/>
                <w:highlight w:val="none"/>
              </w:rPr>
              <w:sym w:font="Wingdings 2" w:char="00A3"/>
            </w:r>
            <w:r>
              <w:rPr>
                <w:color w:val="auto"/>
                <w:sz w:val="24"/>
                <w:highlight w:val="none"/>
              </w:rPr>
              <w:t>不予批准后再次申报项目</w:t>
            </w:r>
          </w:p>
          <w:p w14:paraId="3EBEAED1">
            <w:pPr>
              <w:jc w:val="left"/>
              <w:rPr>
                <w:color w:val="auto"/>
                <w:sz w:val="24"/>
                <w:highlight w:val="none"/>
              </w:rPr>
            </w:pPr>
            <w:r>
              <w:rPr>
                <w:rFonts w:ascii="Wingdings 2" w:hAnsi="Wingdings 2"/>
                <w:color w:val="auto"/>
                <w:sz w:val="24"/>
                <w:highlight w:val="none"/>
              </w:rPr>
              <w:sym w:font="Wingdings 2" w:char="00A3"/>
            </w:r>
            <w:r>
              <w:rPr>
                <w:color w:val="auto"/>
                <w:sz w:val="24"/>
                <w:highlight w:val="none"/>
              </w:rPr>
              <w:t>超五年重新审核项目</w:t>
            </w:r>
          </w:p>
          <w:p w14:paraId="6A5CD6E0">
            <w:pPr>
              <w:jc w:val="left"/>
              <w:rPr>
                <w:color w:val="auto"/>
                <w:sz w:val="24"/>
                <w:highlight w:val="none"/>
              </w:rPr>
            </w:pPr>
            <w:r>
              <w:rPr>
                <w:rFonts w:ascii="Wingdings 2" w:hAnsi="Wingdings 2"/>
                <w:color w:val="auto"/>
                <w:sz w:val="24"/>
                <w:highlight w:val="none"/>
              </w:rPr>
              <w:sym w:font="Wingdings 2" w:char="00A3"/>
            </w:r>
            <w:r>
              <w:rPr>
                <w:color w:val="auto"/>
                <w:sz w:val="24"/>
                <w:highlight w:val="none"/>
              </w:rPr>
              <w:t>重大变动重新报批项目</w:t>
            </w:r>
          </w:p>
        </w:tc>
      </w:tr>
      <w:tr w14:paraId="3C973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851" w:hRule="atLeast"/>
          <w:jc w:val="center"/>
        </w:trPr>
        <w:tc>
          <w:tcPr>
            <w:tcW w:w="1719" w:type="dxa"/>
            <w:shd w:val="clear" w:color="auto" w:fill="auto"/>
            <w:tcMar>
              <w:top w:w="16" w:type="dxa"/>
              <w:left w:w="16" w:type="dxa"/>
              <w:bottom w:w="0" w:type="dxa"/>
              <w:right w:w="16" w:type="dxa"/>
            </w:tcMar>
            <w:vAlign w:val="center"/>
          </w:tcPr>
          <w:p w14:paraId="01720BDC">
            <w:pPr>
              <w:adjustRightInd w:val="0"/>
              <w:snapToGrid w:val="0"/>
              <w:jc w:val="center"/>
              <w:rPr>
                <w:color w:val="auto"/>
                <w:sz w:val="24"/>
                <w:highlight w:val="none"/>
              </w:rPr>
            </w:pPr>
            <w:r>
              <w:rPr>
                <w:color w:val="auto"/>
                <w:sz w:val="24"/>
                <w:highlight w:val="none"/>
              </w:rPr>
              <w:t>项目审批（核准/</w:t>
            </w:r>
          </w:p>
          <w:p w14:paraId="7F3A566B">
            <w:pPr>
              <w:adjustRightInd w:val="0"/>
              <w:snapToGrid w:val="0"/>
              <w:jc w:val="center"/>
              <w:rPr>
                <w:color w:val="auto"/>
                <w:sz w:val="24"/>
                <w:highlight w:val="none"/>
              </w:rPr>
            </w:pPr>
            <w:r>
              <w:rPr>
                <w:color w:val="auto"/>
                <w:sz w:val="24"/>
                <w:highlight w:val="none"/>
              </w:rPr>
              <w:t>备案）部门（选填）</w:t>
            </w:r>
          </w:p>
        </w:tc>
        <w:tc>
          <w:tcPr>
            <w:tcW w:w="2300" w:type="dxa"/>
            <w:shd w:val="clear" w:color="auto" w:fill="auto"/>
            <w:vAlign w:val="center"/>
          </w:tcPr>
          <w:p w14:paraId="4E73A78F">
            <w:pPr>
              <w:adjustRightInd w:val="0"/>
              <w:snapToGrid w:val="0"/>
              <w:jc w:val="center"/>
              <w:rPr>
                <w:color w:val="auto"/>
                <w:sz w:val="24"/>
                <w:highlight w:val="none"/>
              </w:rPr>
            </w:pPr>
            <w:r>
              <w:rPr>
                <w:color w:val="auto"/>
                <w:sz w:val="24"/>
                <w:highlight w:val="none"/>
              </w:rPr>
              <w:t>/</w:t>
            </w:r>
          </w:p>
        </w:tc>
        <w:tc>
          <w:tcPr>
            <w:tcW w:w="2212" w:type="dxa"/>
            <w:shd w:val="clear" w:color="auto" w:fill="auto"/>
            <w:vAlign w:val="center"/>
          </w:tcPr>
          <w:p w14:paraId="197D25CD">
            <w:pPr>
              <w:adjustRightInd w:val="0"/>
              <w:snapToGrid w:val="0"/>
              <w:jc w:val="center"/>
              <w:rPr>
                <w:color w:val="auto"/>
                <w:sz w:val="24"/>
                <w:highlight w:val="none"/>
              </w:rPr>
            </w:pPr>
            <w:r>
              <w:rPr>
                <w:color w:val="auto"/>
                <w:sz w:val="24"/>
                <w:highlight w:val="none"/>
              </w:rPr>
              <w:t>项目审批（核准/</w:t>
            </w:r>
          </w:p>
          <w:p w14:paraId="4E4C78FF">
            <w:pPr>
              <w:adjustRightInd w:val="0"/>
              <w:snapToGrid w:val="0"/>
              <w:jc w:val="center"/>
              <w:rPr>
                <w:color w:val="auto"/>
                <w:sz w:val="24"/>
                <w:highlight w:val="none"/>
              </w:rPr>
            </w:pPr>
            <w:r>
              <w:rPr>
                <w:color w:val="auto"/>
                <w:sz w:val="24"/>
                <w:highlight w:val="none"/>
              </w:rPr>
              <w:t>备案）文号（选填）</w:t>
            </w:r>
          </w:p>
        </w:tc>
        <w:tc>
          <w:tcPr>
            <w:tcW w:w="2639" w:type="dxa"/>
            <w:shd w:val="clear" w:color="auto" w:fill="auto"/>
            <w:vAlign w:val="center"/>
          </w:tcPr>
          <w:p w14:paraId="6534BA3D">
            <w:pPr>
              <w:adjustRightInd w:val="0"/>
              <w:snapToGrid w:val="0"/>
              <w:jc w:val="center"/>
              <w:rPr>
                <w:color w:val="auto"/>
                <w:sz w:val="24"/>
                <w:highlight w:val="none"/>
              </w:rPr>
            </w:pPr>
            <w:r>
              <w:rPr>
                <w:color w:val="auto"/>
                <w:sz w:val="24"/>
                <w:highlight w:val="none"/>
              </w:rPr>
              <w:t>/</w:t>
            </w:r>
          </w:p>
        </w:tc>
      </w:tr>
      <w:tr w14:paraId="6EBC3F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53DCFEA8">
            <w:pPr>
              <w:adjustRightInd w:val="0"/>
              <w:snapToGrid w:val="0"/>
              <w:jc w:val="center"/>
              <w:rPr>
                <w:color w:val="auto"/>
                <w:sz w:val="24"/>
                <w:highlight w:val="none"/>
              </w:rPr>
            </w:pPr>
            <w:r>
              <w:rPr>
                <w:color w:val="auto"/>
                <w:sz w:val="24"/>
                <w:highlight w:val="none"/>
              </w:rPr>
              <w:t>总投资（万元）</w:t>
            </w:r>
          </w:p>
        </w:tc>
        <w:tc>
          <w:tcPr>
            <w:tcW w:w="2300" w:type="dxa"/>
            <w:shd w:val="clear" w:color="auto" w:fill="auto"/>
            <w:vAlign w:val="center"/>
          </w:tcPr>
          <w:p w14:paraId="36471A58">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1000</w:t>
            </w:r>
          </w:p>
        </w:tc>
        <w:tc>
          <w:tcPr>
            <w:tcW w:w="2212" w:type="dxa"/>
            <w:shd w:val="clear" w:color="auto" w:fill="auto"/>
            <w:tcMar>
              <w:top w:w="16" w:type="dxa"/>
              <w:left w:w="16" w:type="dxa"/>
              <w:bottom w:w="0" w:type="dxa"/>
              <w:right w:w="16" w:type="dxa"/>
            </w:tcMar>
            <w:vAlign w:val="center"/>
          </w:tcPr>
          <w:p w14:paraId="5F48B44F">
            <w:pPr>
              <w:adjustRightInd w:val="0"/>
              <w:snapToGrid w:val="0"/>
              <w:jc w:val="center"/>
              <w:rPr>
                <w:color w:val="auto"/>
                <w:sz w:val="24"/>
                <w:highlight w:val="none"/>
              </w:rPr>
            </w:pPr>
            <w:r>
              <w:rPr>
                <w:color w:val="auto"/>
                <w:sz w:val="24"/>
                <w:highlight w:val="none"/>
              </w:rPr>
              <w:t>环保投资（万元）</w:t>
            </w:r>
          </w:p>
        </w:tc>
        <w:tc>
          <w:tcPr>
            <w:tcW w:w="2639" w:type="dxa"/>
            <w:shd w:val="clear" w:color="auto" w:fill="auto"/>
            <w:vAlign w:val="center"/>
          </w:tcPr>
          <w:p w14:paraId="6854BD03">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10</w:t>
            </w:r>
          </w:p>
        </w:tc>
      </w:tr>
      <w:tr w14:paraId="7FC5DF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75C58853">
            <w:pPr>
              <w:adjustRightInd w:val="0"/>
              <w:snapToGrid w:val="0"/>
              <w:jc w:val="center"/>
              <w:rPr>
                <w:color w:val="auto"/>
                <w:sz w:val="24"/>
                <w:highlight w:val="none"/>
              </w:rPr>
            </w:pPr>
            <w:r>
              <w:rPr>
                <w:color w:val="auto"/>
                <w:sz w:val="24"/>
                <w:highlight w:val="none"/>
              </w:rPr>
              <w:t>环保投资占比（%）</w:t>
            </w:r>
          </w:p>
        </w:tc>
        <w:tc>
          <w:tcPr>
            <w:tcW w:w="2300" w:type="dxa"/>
            <w:shd w:val="clear" w:color="auto" w:fill="auto"/>
            <w:vAlign w:val="center"/>
          </w:tcPr>
          <w:p w14:paraId="066B322C">
            <w:pPr>
              <w:adjustRightInd w:val="0"/>
              <w:snapToGrid w:val="0"/>
              <w:jc w:val="center"/>
              <w:rPr>
                <w:color w:val="auto"/>
                <w:sz w:val="24"/>
                <w:highlight w:val="none"/>
              </w:rPr>
            </w:pPr>
            <w:r>
              <w:rPr>
                <w:rFonts w:hint="eastAsia"/>
                <w:color w:val="auto"/>
                <w:sz w:val="24"/>
                <w:highlight w:val="none"/>
                <w:lang w:val="en-US" w:eastAsia="zh-CN"/>
              </w:rPr>
              <w:t>1</w:t>
            </w:r>
            <w:r>
              <w:rPr>
                <w:color w:val="auto"/>
                <w:sz w:val="24"/>
                <w:highlight w:val="none"/>
              </w:rPr>
              <w:t>%</w:t>
            </w:r>
          </w:p>
        </w:tc>
        <w:tc>
          <w:tcPr>
            <w:tcW w:w="2212" w:type="dxa"/>
            <w:shd w:val="clear" w:color="auto" w:fill="auto"/>
            <w:tcMar>
              <w:top w:w="16" w:type="dxa"/>
              <w:left w:w="16" w:type="dxa"/>
              <w:bottom w:w="0" w:type="dxa"/>
              <w:right w:w="16" w:type="dxa"/>
            </w:tcMar>
            <w:vAlign w:val="center"/>
          </w:tcPr>
          <w:p w14:paraId="5DB03062">
            <w:pPr>
              <w:adjustRightInd w:val="0"/>
              <w:snapToGrid w:val="0"/>
              <w:jc w:val="center"/>
              <w:rPr>
                <w:color w:val="auto"/>
                <w:sz w:val="24"/>
                <w:highlight w:val="none"/>
              </w:rPr>
            </w:pPr>
            <w:r>
              <w:rPr>
                <w:color w:val="auto"/>
                <w:sz w:val="24"/>
                <w:highlight w:val="none"/>
              </w:rPr>
              <w:t>施工工期</w:t>
            </w:r>
          </w:p>
        </w:tc>
        <w:tc>
          <w:tcPr>
            <w:tcW w:w="2639" w:type="dxa"/>
            <w:shd w:val="clear" w:color="auto" w:fill="auto"/>
            <w:vAlign w:val="center"/>
          </w:tcPr>
          <w:p w14:paraId="48BDB219">
            <w:pPr>
              <w:adjustRightInd w:val="0"/>
              <w:snapToGrid w:val="0"/>
              <w:jc w:val="center"/>
              <w:rPr>
                <w:color w:val="auto"/>
                <w:sz w:val="24"/>
                <w:highlight w:val="none"/>
              </w:rPr>
            </w:pPr>
            <w:r>
              <w:rPr>
                <w:color w:val="auto"/>
                <w:sz w:val="24"/>
                <w:highlight w:val="none"/>
              </w:rPr>
              <w:t>/</w:t>
            </w:r>
          </w:p>
        </w:tc>
      </w:tr>
      <w:tr w14:paraId="5E4FFA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19" w:type="dxa"/>
            <w:shd w:val="clear" w:color="auto" w:fill="auto"/>
            <w:tcMar>
              <w:top w:w="16" w:type="dxa"/>
              <w:left w:w="16" w:type="dxa"/>
              <w:bottom w:w="0" w:type="dxa"/>
              <w:right w:w="16" w:type="dxa"/>
            </w:tcMar>
            <w:vAlign w:val="center"/>
          </w:tcPr>
          <w:p w14:paraId="3AE21F6E">
            <w:pPr>
              <w:adjustRightInd w:val="0"/>
              <w:snapToGrid w:val="0"/>
              <w:jc w:val="center"/>
              <w:rPr>
                <w:color w:val="auto"/>
                <w:sz w:val="24"/>
                <w:highlight w:val="none"/>
              </w:rPr>
            </w:pPr>
            <w:r>
              <w:rPr>
                <w:color w:val="auto"/>
                <w:sz w:val="24"/>
                <w:highlight w:val="none"/>
              </w:rPr>
              <w:t>是否开工建设</w:t>
            </w:r>
          </w:p>
        </w:tc>
        <w:tc>
          <w:tcPr>
            <w:tcW w:w="2300" w:type="dxa"/>
            <w:shd w:val="clear" w:color="auto" w:fill="auto"/>
            <w:vAlign w:val="center"/>
          </w:tcPr>
          <w:p w14:paraId="7D47855A">
            <w:pPr>
              <w:adjustRightInd w:val="0"/>
              <w:snapToGrid w:val="0"/>
              <w:rPr>
                <w:color w:val="auto"/>
                <w:sz w:val="24"/>
                <w:highlight w:val="none"/>
              </w:rPr>
            </w:pPr>
            <w:r>
              <w:rPr>
                <w:color w:val="auto"/>
                <w:sz w:val="24"/>
                <w:highlight w:val="none"/>
              </w:rPr>
              <w:t>☑否</w:t>
            </w:r>
          </w:p>
          <w:p w14:paraId="38574724">
            <w:pPr>
              <w:adjustRightInd w:val="0"/>
              <w:snapToGrid w:val="0"/>
              <w:rPr>
                <w:color w:val="auto"/>
                <w:sz w:val="24"/>
                <w:highlight w:val="none"/>
              </w:rPr>
            </w:pPr>
            <w:r>
              <w:rPr>
                <w:rFonts w:ascii="Wingdings 2" w:hAnsi="Wingdings 2"/>
                <w:color w:val="auto"/>
                <w:sz w:val="24"/>
                <w:highlight w:val="none"/>
              </w:rPr>
              <w:sym w:font="Wingdings 2" w:char="00A3"/>
            </w:r>
            <w:r>
              <w:rPr>
                <w:color w:val="auto"/>
                <w:sz w:val="24"/>
                <w:highlight w:val="none"/>
              </w:rPr>
              <w:t>是：</w:t>
            </w:r>
            <w:r>
              <w:rPr>
                <w:color w:val="auto"/>
                <w:sz w:val="24"/>
                <w:highlight w:val="none"/>
                <w:u w:val="single"/>
              </w:rPr>
              <w:t xml:space="preserve">             </w:t>
            </w:r>
          </w:p>
        </w:tc>
        <w:tc>
          <w:tcPr>
            <w:tcW w:w="2212" w:type="dxa"/>
            <w:shd w:val="clear" w:color="auto" w:fill="auto"/>
            <w:tcMar>
              <w:top w:w="16" w:type="dxa"/>
              <w:left w:w="16" w:type="dxa"/>
              <w:bottom w:w="0" w:type="dxa"/>
              <w:right w:w="16" w:type="dxa"/>
            </w:tcMar>
            <w:vAlign w:val="center"/>
          </w:tcPr>
          <w:p w14:paraId="7CD1F0FA">
            <w:pPr>
              <w:adjustRightInd w:val="0"/>
              <w:snapToGrid w:val="0"/>
              <w:jc w:val="center"/>
              <w:rPr>
                <w:color w:val="auto"/>
                <w:spacing w:val="-6"/>
                <w:sz w:val="24"/>
                <w:highlight w:val="none"/>
              </w:rPr>
            </w:pPr>
            <w:r>
              <w:rPr>
                <w:color w:val="auto"/>
                <w:spacing w:val="-6"/>
                <w:sz w:val="24"/>
                <w:highlight w:val="none"/>
              </w:rPr>
              <w:t>用地</w:t>
            </w:r>
          </w:p>
          <w:p w14:paraId="0FB115DB">
            <w:pPr>
              <w:adjustRightInd w:val="0"/>
              <w:snapToGrid w:val="0"/>
              <w:jc w:val="center"/>
              <w:rPr>
                <w:color w:val="auto"/>
                <w:sz w:val="24"/>
                <w:highlight w:val="none"/>
              </w:rPr>
            </w:pPr>
            <w:r>
              <w:rPr>
                <w:color w:val="auto"/>
                <w:spacing w:val="-6"/>
                <w:sz w:val="24"/>
                <w:highlight w:val="none"/>
              </w:rPr>
              <w:t>面积（</w:t>
            </w:r>
            <w:r>
              <w:rPr>
                <w:rFonts w:hint="eastAsia"/>
                <w:color w:val="auto"/>
                <w:kern w:val="0"/>
                <w:sz w:val="24"/>
                <w:highlight w:val="none"/>
              </w:rPr>
              <w:t>㎡</w:t>
            </w:r>
            <w:r>
              <w:rPr>
                <w:color w:val="auto"/>
                <w:spacing w:val="-6"/>
                <w:sz w:val="24"/>
                <w:highlight w:val="none"/>
              </w:rPr>
              <w:t>）</w:t>
            </w:r>
          </w:p>
        </w:tc>
        <w:tc>
          <w:tcPr>
            <w:tcW w:w="2639" w:type="dxa"/>
            <w:shd w:val="clear" w:color="auto" w:fill="auto"/>
            <w:vAlign w:val="center"/>
          </w:tcPr>
          <w:p w14:paraId="3E2BBBF7">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1800</w:t>
            </w:r>
          </w:p>
        </w:tc>
      </w:tr>
      <w:tr w14:paraId="05B0C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9" w:type="dxa"/>
            <w:shd w:val="clear" w:color="auto" w:fill="auto"/>
            <w:vAlign w:val="center"/>
          </w:tcPr>
          <w:p w14:paraId="29800E17">
            <w:pPr>
              <w:autoSpaceDE w:val="0"/>
              <w:autoSpaceDN w:val="0"/>
              <w:adjustRightInd w:val="0"/>
              <w:snapToGrid w:val="0"/>
              <w:jc w:val="center"/>
              <w:rPr>
                <w:color w:val="auto"/>
                <w:kern w:val="0"/>
                <w:sz w:val="24"/>
                <w:highlight w:val="none"/>
              </w:rPr>
            </w:pPr>
            <w:r>
              <w:rPr>
                <w:color w:val="auto"/>
                <w:kern w:val="0"/>
                <w:sz w:val="24"/>
                <w:highlight w:val="none"/>
              </w:rPr>
              <w:t>专项评价设置情况</w:t>
            </w:r>
          </w:p>
        </w:tc>
        <w:tc>
          <w:tcPr>
            <w:tcW w:w="7151" w:type="dxa"/>
            <w:gridSpan w:val="3"/>
            <w:shd w:val="clear" w:color="auto" w:fill="auto"/>
            <w:vAlign w:val="center"/>
          </w:tcPr>
          <w:p w14:paraId="7010346A">
            <w:pPr>
              <w:autoSpaceDE w:val="0"/>
              <w:autoSpaceDN w:val="0"/>
              <w:adjustRightInd w:val="0"/>
              <w:snapToGrid w:val="0"/>
              <w:jc w:val="center"/>
              <w:rPr>
                <w:rFonts w:ascii="Times New Roman" w:hAnsi="Times New Roman" w:eastAsia="宋体" w:cs="Times New Roman"/>
                <w:color w:val="auto"/>
                <w:kern w:val="0"/>
                <w:sz w:val="24"/>
                <w:szCs w:val="24"/>
                <w:highlight w:val="none"/>
                <w:lang w:val="en-US" w:eastAsia="zh-CN" w:bidi="ar-SA"/>
              </w:rPr>
            </w:pPr>
            <w:r>
              <w:rPr>
                <w:color w:val="auto"/>
                <w:kern w:val="0"/>
                <w:sz w:val="24"/>
                <w:highlight w:val="none"/>
              </w:rPr>
              <w:t>无</w:t>
            </w:r>
          </w:p>
        </w:tc>
      </w:tr>
      <w:tr w14:paraId="2D7D40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9" w:type="dxa"/>
            <w:shd w:val="clear" w:color="auto" w:fill="auto"/>
            <w:vAlign w:val="center"/>
          </w:tcPr>
          <w:p w14:paraId="7A47120C">
            <w:pPr>
              <w:autoSpaceDE w:val="0"/>
              <w:autoSpaceDN w:val="0"/>
              <w:adjustRightInd w:val="0"/>
              <w:snapToGrid w:val="0"/>
              <w:jc w:val="center"/>
              <w:rPr>
                <w:color w:val="auto"/>
                <w:kern w:val="0"/>
                <w:sz w:val="24"/>
                <w:highlight w:val="none"/>
              </w:rPr>
            </w:pPr>
            <w:r>
              <w:rPr>
                <w:color w:val="auto"/>
                <w:sz w:val="24"/>
                <w:highlight w:val="none"/>
              </w:rPr>
              <w:t>规划情况</w:t>
            </w:r>
          </w:p>
        </w:tc>
        <w:tc>
          <w:tcPr>
            <w:tcW w:w="7151" w:type="dxa"/>
            <w:gridSpan w:val="3"/>
            <w:shd w:val="clear" w:color="auto" w:fill="auto"/>
            <w:vAlign w:val="center"/>
          </w:tcPr>
          <w:p w14:paraId="1EE80536">
            <w:pPr>
              <w:autoSpaceDE w:val="0"/>
              <w:autoSpaceDN w:val="0"/>
              <w:adjustRightInd w:val="0"/>
              <w:snapToGrid w:val="0"/>
              <w:jc w:val="center"/>
              <w:rPr>
                <w:rFonts w:ascii="Times New Roman" w:hAnsi="Times New Roman" w:eastAsia="宋体" w:cs="Times New Roman"/>
                <w:color w:val="auto"/>
                <w:kern w:val="0"/>
                <w:sz w:val="24"/>
                <w:szCs w:val="24"/>
                <w:highlight w:val="none"/>
                <w:lang w:val="en-US" w:eastAsia="zh-CN" w:bidi="ar-SA"/>
              </w:rPr>
            </w:pPr>
            <w:r>
              <w:rPr>
                <w:color w:val="auto"/>
                <w:kern w:val="0"/>
                <w:sz w:val="24"/>
                <w:highlight w:val="none"/>
              </w:rPr>
              <w:t>无</w:t>
            </w:r>
          </w:p>
        </w:tc>
      </w:tr>
      <w:tr w14:paraId="7FC31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719" w:type="dxa"/>
            <w:shd w:val="clear" w:color="auto" w:fill="auto"/>
            <w:vAlign w:val="center"/>
          </w:tcPr>
          <w:p w14:paraId="0FD9180C">
            <w:pPr>
              <w:adjustRightInd w:val="0"/>
              <w:snapToGrid w:val="0"/>
              <w:jc w:val="center"/>
              <w:rPr>
                <w:color w:val="auto"/>
                <w:sz w:val="24"/>
                <w:highlight w:val="none"/>
              </w:rPr>
            </w:pPr>
            <w:r>
              <w:rPr>
                <w:color w:val="auto"/>
                <w:sz w:val="24"/>
                <w:highlight w:val="none"/>
              </w:rPr>
              <w:t>规划环境影响</w:t>
            </w:r>
          </w:p>
          <w:p w14:paraId="0A9F5E13">
            <w:pPr>
              <w:adjustRightInd w:val="0"/>
              <w:snapToGrid w:val="0"/>
              <w:jc w:val="center"/>
              <w:rPr>
                <w:color w:val="auto"/>
                <w:kern w:val="0"/>
                <w:sz w:val="24"/>
                <w:highlight w:val="none"/>
              </w:rPr>
            </w:pPr>
            <w:r>
              <w:rPr>
                <w:color w:val="auto"/>
                <w:sz w:val="24"/>
                <w:highlight w:val="none"/>
              </w:rPr>
              <w:t>评价情况</w:t>
            </w:r>
          </w:p>
        </w:tc>
        <w:tc>
          <w:tcPr>
            <w:tcW w:w="7151" w:type="dxa"/>
            <w:gridSpan w:val="3"/>
            <w:shd w:val="clear" w:color="auto" w:fill="auto"/>
            <w:vAlign w:val="center"/>
          </w:tcPr>
          <w:p w14:paraId="30C4E902">
            <w:pPr>
              <w:autoSpaceDE w:val="0"/>
              <w:autoSpaceDN w:val="0"/>
              <w:adjustRightInd w:val="0"/>
              <w:snapToGrid w:val="0"/>
              <w:jc w:val="center"/>
              <w:rPr>
                <w:rFonts w:ascii="Times New Roman" w:hAnsi="Times New Roman" w:eastAsia="宋体" w:cs="Times New Roman"/>
                <w:color w:val="auto"/>
                <w:kern w:val="0"/>
                <w:sz w:val="24"/>
                <w:szCs w:val="24"/>
                <w:highlight w:val="none"/>
                <w:lang w:val="en-US" w:eastAsia="zh-CN" w:bidi="ar-SA"/>
              </w:rPr>
            </w:pPr>
            <w:r>
              <w:rPr>
                <w:color w:val="auto"/>
                <w:kern w:val="0"/>
                <w:sz w:val="24"/>
                <w:highlight w:val="none"/>
              </w:rPr>
              <w:t>无</w:t>
            </w:r>
          </w:p>
        </w:tc>
      </w:tr>
      <w:tr w14:paraId="40E357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19" w:type="dxa"/>
            <w:shd w:val="clear" w:color="auto" w:fill="auto"/>
            <w:vAlign w:val="center"/>
          </w:tcPr>
          <w:p w14:paraId="3D4F1761">
            <w:pPr>
              <w:adjustRightInd w:val="0"/>
              <w:snapToGrid w:val="0"/>
              <w:jc w:val="left"/>
              <w:rPr>
                <w:color w:val="auto"/>
                <w:kern w:val="0"/>
                <w:szCs w:val="21"/>
                <w:highlight w:val="none"/>
              </w:rPr>
            </w:pPr>
            <w:r>
              <w:rPr>
                <w:color w:val="auto"/>
                <w:sz w:val="24"/>
                <w:highlight w:val="none"/>
              </w:rPr>
              <w:t>规划及规划环境影响评价符合性分析</w:t>
            </w:r>
          </w:p>
        </w:tc>
        <w:tc>
          <w:tcPr>
            <w:tcW w:w="7151" w:type="dxa"/>
            <w:gridSpan w:val="3"/>
            <w:shd w:val="clear" w:color="auto" w:fill="auto"/>
            <w:vAlign w:val="center"/>
          </w:tcPr>
          <w:p w14:paraId="3A54BD14">
            <w:pPr>
              <w:adjustRightInd w:val="0"/>
              <w:snapToGrid w:val="0"/>
              <w:jc w:val="center"/>
              <w:rPr>
                <w:rFonts w:ascii="Times New Roman" w:hAnsi="Times New Roman" w:eastAsia="宋体" w:cs="Times New Roman"/>
                <w:color w:val="auto"/>
                <w:kern w:val="2"/>
                <w:sz w:val="24"/>
                <w:szCs w:val="24"/>
                <w:highlight w:val="none"/>
                <w:lang w:val="en-US" w:eastAsia="zh-CN" w:bidi="ar-SA"/>
              </w:rPr>
            </w:pPr>
            <w:r>
              <w:rPr>
                <w:color w:val="auto"/>
                <w:sz w:val="24"/>
                <w:highlight w:val="none"/>
              </w:rPr>
              <w:t>无</w:t>
            </w:r>
          </w:p>
        </w:tc>
      </w:tr>
      <w:tr w14:paraId="7FE93F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8870" w:type="dxa"/>
            <w:gridSpan w:val="4"/>
            <w:shd w:val="clear" w:color="auto" w:fill="auto"/>
            <w:vAlign w:val="center"/>
          </w:tcPr>
          <w:p w14:paraId="285E8E3E">
            <w:pPr>
              <w:autoSpaceDE w:val="0"/>
              <w:autoSpaceDN w:val="0"/>
              <w:adjustRightInd w:val="0"/>
              <w:snapToGrid w:val="0"/>
              <w:rPr>
                <w:color w:val="auto"/>
                <w:kern w:val="0"/>
                <w:sz w:val="24"/>
                <w:highlight w:val="none"/>
              </w:rPr>
            </w:pPr>
            <w:r>
              <w:rPr>
                <w:color w:val="auto"/>
                <w:kern w:val="0"/>
                <w:sz w:val="24"/>
                <w:highlight w:val="none"/>
              </w:rPr>
              <w:t>其他符合性分析：</w:t>
            </w:r>
          </w:p>
          <w:p w14:paraId="40BCCB5F">
            <w:pPr>
              <w:pStyle w:val="95"/>
              <w:spacing w:before="120"/>
              <w:rPr>
                <w:b/>
                <w:bCs/>
                <w:color w:val="auto"/>
                <w:sz w:val="21"/>
                <w:szCs w:val="21"/>
                <w:highlight w:val="none"/>
              </w:rPr>
            </w:pPr>
            <w:r>
              <w:rPr>
                <w:b/>
                <w:bCs/>
                <w:color w:val="auto"/>
                <w:sz w:val="21"/>
                <w:szCs w:val="21"/>
                <w:highlight w:val="none"/>
              </w:rPr>
              <w:t>合理性分析一览表</w:t>
            </w:r>
          </w:p>
          <w:tbl>
            <w:tblPr>
              <w:tblStyle w:val="3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05"/>
              <w:gridCol w:w="1629"/>
              <w:gridCol w:w="3697"/>
              <w:gridCol w:w="2459"/>
              <w:gridCol w:w="455"/>
            </w:tblGrid>
            <w:tr w14:paraId="363EA9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64" w:hRule="atLeast"/>
              </w:trPr>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713B10">
                  <w:pPr>
                    <w:adjustRightInd w:val="0"/>
                    <w:snapToGrid w:val="0"/>
                    <w:jc w:val="center"/>
                    <w:rPr>
                      <w:b/>
                      <w:bCs/>
                      <w:color w:val="auto"/>
                      <w:szCs w:val="21"/>
                      <w:highlight w:val="none"/>
                    </w:rPr>
                  </w:pPr>
                  <w:r>
                    <w:rPr>
                      <w:b/>
                      <w:bCs/>
                      <w:color w:val="auto"/>
                      <w:szCs w:val="21"/>
                      <w:highlight w:val="none"/>
                      <w:lang w:bidi="en-AU"/>
                    </w:rPr>
                    <w:t>序号</w:t>
                  </w:r>
                </w:p>
              </w:tc>
              <w:tc>
                <w:tcPr>
                  <w:tcW w:w="9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743F6">
                  <w:pPr>
                    <w:adjustRightInd w:val="0"/>
                    <w:snapToGrid w:val="0"/>
                    <w:jc w:val="center"/>
                    <w:rPr>
                      <w:b/>
                      <w:bCs/>
                      <w:color w:val="auto"/>
                      <w:szCs w:val="21"/>
                      <w:highlight w:val="none"/>
                    </w:rPr>
                  </w:pPr>
                  <w:r>
                    <w:rPr>
                      <w:b/>
                      <w:bCs/>
                      <w:color w:val="auto"/>
                      <w:szCs w:val="21"/>
                      <w:highlight w:val="none"/>
                      <w:lang w:bidi="en-AU"/>
                    </w:rPr>
                    <w:t>规划/政策</w:t>
                  </w:r>
                  <w:r>
                    <w:rPr>
                      <w:b/>
                      <w:bCs/>
                      <w:color w:val="auto"/>
                      <w:szCs w:val="21"/>
                      <w:highlight w:val="none"/>
                    </w:rPr>
                    <w:t>文件</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4130B">
                  <w:pPr>
                    <w:adjustRightInd w:val="0"/>
                    <w:snapToGrid w:val="0"/>
                    <w:jc w:val="center"/>
                    <w:rPr>
                      <w:b/>
                      <w:bCs/>
                      <w:color w:val="auto"/>
                      <w:szCs w:val="21"/>
                      <w:highlight w:val="none"/>
                    </w:rPr>
                  </w:pPr>
                  <w:r>
                    <w:rPr>
                      <w:b/>
                      <w:bCs/>
                      <w:color w:val="auto"/>
                      <w:szCs w:val="21"/>
                      <w:highlight w:val="none"/>
                      <w:lang w:bidi="en-AU"/>
                    </w:rPr>
                    <w:t>涉及</w:t>
                  </w:r>
                  <w:r>
                    <w:rPr>
                      <w:b/>
                      <w:bCs/>
                      <w:color w:val="auto"/>
                      <w:szCs w:val="21"/>
                      <w:highlight w:val="none"/>
                    </w:rPr>
                    <w:t>条款</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749CA9">
                  <w:pPr>
                    <w:adjustRightInd w:val="0"/>
                    <w:snapToGrid w:val="0"/>
                    <w:jc w:val="center"/>
                    <w:rPr>
                      <w:b/>
                      <w:bCs/>
                      <w:color w:val="auto"/>
                      <w:szCs w:val="21"/>
                      <w:highlight w:val="none"/>
                    </w:rPr>
                  </w:pPr>
                  <w:r>
                    <w:rPr>
                      <w:b/>
                      <w:bCs/>
                      <w:color w:val="auto"/>
                      <w:szCs w:val="21"/>
                      <w:highlight w:val="none"/>
                      <w:lang w:bidi="en-AU"/>
                    </w:rPr>
                    <w:t>本项目</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2443E4">
                  <w:pPr>
                    <w:adjustRightInd w:val="0"/>
                    <w:snapToGrid w:val="0"/>
                    <w:jc w:val="center"/>
                    <w:rPr>
                      <w:b/>
                      <w:bCs/>
                      <w:color w:val="auto"/>
                      <w:szCs w:val="21"/>
                      <w:highlight w:val="none"/>
                    </w:rPr>
                  </w:pPr>
                  <w:r>
                    <w:rPr>
                      <w:b/>
                      <w:bCs/>
                      <w:color w:val="auto"/>
                      <w:szCs w:val="21"/>
                      <w:highlight w:val="none"/>
                      <w:lang w:bidi="en-AU"/>
                    </w:rPr>
                    <w:t>是否符合</w:t>
                  </w:r>
                </w:p>
              </w:tc>
            </w:tr>
            <w:tr w14:paraId="47B38B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65E412">
                  <w:pPr>
                    <w:adjustRightInd w:val="0"/>
                    <w:snapToGrid w:val="0"/>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1</w:t>
                  </w:r>
                </w:p>
              </w:tc>
              <w:tc>
                <w:tcPr>
                  <w:tcW w:w="9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F047B">
                  <w:pPr>
                    <w:adjustRightInd w:val="0"/>
                    <w:snapToGrid w:val="0"/>
                    <w:rPr>
                      <w:rFonts w:ascii="Times New Roman" w:hAnsi="Times New Roman" w:eastAsia="宋体" w:cs="Times New Roman"/>
                      <w:color w:val="auto"/>
                      <w:kern w:val="2"/>
                      <w:sz w:val="21"/>
                      <w:szCs w:val="21"/>
                      <w:lang w:val="en-US" w:eastAsia="zh-CN" w:bidi="ar-SA"/>
                    </w:rPr>
                  </w:pPr>
                  <w:r>
                    <w:rPr>
                      <w:color w:val="auto"/>
                      <w:szCs w:val="21"/>
                    </w:rPr>
                    <w:t>《</w:t>
                  </w:r>
                  <w:r>
                    <w:rPr>
                      <w:color w:val="auto"/>
                      <w:szCs w:val="21"/>
                    </w:rPr>
                    <w:fldChar w:fldCharType="begin"/>
                  </w:r>
                  <w:r>
                    <w:rPr>
                      <w:color w:val="auto"/>
                      <w:szCs w:val="21"/>
                    </w:rPr>
                    <w:instrText xml:space="preserve"> HYPERLINK "file:///H:\\com_caislabs_ebk\\K管理政策\\名录-目录-名单\\产业结构调整指导目录(发改令第40号2005-12-2).htm" \t "main" \o "产业结构调整指导目录(发改令第40号2005-12-2)" </w:instrText>
                  </w:r>
                  <w:r>
                    <w:rPr>
                      <w:color w:val="auto"/>
                      <w:szCs w:val="21"/>
                    </w:rPr>
                    <w:fldChar w:fldCharType="separate"/>
                  </w:r>
                  <w:r>
                    <w:rPr>
                      <w:color w:val="auto"/>
                      <w:szCs w:val="21"/>
                    </w:rPr>
                    <w:t>产业结构调整指导目录</w:t>
                  </w:r>
                  <w:r>
                    <w:rPr>
                      <w:color w:val="auto"/>
                      <w:szCs w:val="21"/>
                    </w:rPr>
                    <w:fldChar w:fldCharType="end"/>
                  </w:r>
                  <w:r>
                    <w:rPr>
                      <w:color w:val="auto"/>
                      <w:szCs w:val="21"/>
                    </w:rPr>
                    <w:t>（2024年本）》</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D010E9">
                  <w:pPr>
                    <w:adjustRightInd w:val="0"/>
                    <w:snapToGrid w:val="0"/>
                    <w:jc w:val="left"/>
                    <w:rPr>
                      <w:rFonts w:ascii="Times New Roman" w:hAnsi="Times New Roman" w:eastAsia="宋体" w:cs="Times New Roman"/>
                      <w:color w:val="auto"/>
                      <w:kern w:val="2"/>
                      <w:sz w:val="21"/>
                      <w:szCs w:val="21"/>
                      <w:lang w:val="en-US" w:eastAsia="zh-CN" w:bidi="ar-SA"/>
                    </w:rPr>
                  </w:pPr>
                  <w:r>
                    <w:rPr>
                      <w:color w:val="auto"/>
                      <w:szCs w:val="21"/>
                    </w:rPr>
                    <w:t>规定了鼓励类、限制类和禁止类</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703A7">
                  <w:pPr>
                    <w:adjustRightInd w:val="0"/>
                    <w:snapToGrid w:val="0"/>
                    <w:jc w:val="left"/>
                    <w:rPr>
                      <w:rFonts w:ascii="Times New Roman" w:hAnsi="Times New Roman" w:eastAsia="宋体" w:cs="Times New Roman"/>
                      <w:color w:val="auto"/>
                      <w:kern w:val="2"/>
                      <w:sz w:val="21"/>
                      <w:szCs w:val="21"/>
                      <w:lang w:val="en-US" w:eastAsia="zh-CN" w:bidi="ar-SA"/>
                    </w:rPr>
                  </w:pPr>
                  <w:r>
                    <w:rPr>
                      <w:color w:val="auto"/>
                      <w:szCs w:val="21"/>
                    </w:rPr>
                    <w:t>项目生产工艺和生产的产品均不属于规定的鼓励类、限制类和淘汰类</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143275">
                  <w:pPr>
                    <w:adjustRightInd w:val="0"/>
                    <w:snapToGrid w:val="0"/>
                    <w:jc w:val="center"/>
                    <w:rPr>
                      <w:rFonts w:hint="eastAsia" w:eastAsia="宋体"/>
                      <w:color w:val="auto"/>
                      <w:szCs w:val="21"/>
                      <w:highlight w:val="none"/>
                      <w:lang w:val="en-US" w:eastAsia="zh-CN"/>
                    </w:rPr>
                  </w:pPr>
                  <w:r>
                    <w:rPr>
                      <w:color w:val="auto"/>
                      <w:szCs w:val="21"/>
                      <w:highlight w:val="none"/>
                    </w:rPr>
                    <w:t>符合</w:t>
                  </w:r>
                </w:p>
              </w:tc>
            </w:tr>
            <w:tr w14:paraId="6E9A82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0F1963">
                  <w:pPr>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2</w:t>
                  </w:r>
                </w:p>
              </w:tc>
              <w:tc>
                <w:tcPr>
                  <w:tcW w:w="9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8B3B1">
                  <w:pPr>
                    <w:wordWrap w:val="0"/>
                    <w:topLinePunct/>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《市场准入负面清单（2022年版）》</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FAFB55">
                  <w:pPr>
                    <w:adjustRightInd w:val="0"/>
                    <w:snapToGrid w:val="0"/>
                    <w:jc w:val="left"/>
                    <w:rPr>
                      <w:rFonts w:ascii="Times New Roman" w:hAnsi="Times New Roman" w:eastAsia="宋体" w:cs="Times New Roman"/>
                      <w:color w:val="auto"/>
                      <w:kern w:val="2"/>
                      <w:sz w:val="21"/>
                      <w:szCs w:val="21"/>
                      <w:lang w:val="en-US" w:eastAsia="zh-CN" w:bidi="ar-SA"/>
                    </w:rPr>
                  </w:pPr>
                  <w:r>
                    <w:rPr>
                      <w:color w:val="auto"/>
                      <w:szCs w:val="21"/>
                    </w:rPr>
                    <w:t>规定了禁止准入类和许可准入类</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8D066A">
                  <w:pPr>
                    <w:adjustRightInd w:val="0"/>
                    <w:snapToGrid w:val="0"/>
                    <w:jc w:val="left"/>
                    <w:rPr>
                      <w:rFonts w:ascii="Times New Roman" w:hAnsi="Times New Roman" w:eastAsia="宋体" w:cs="Times New Roman"/>
                      <w:color w:val="auto"/>
                      <w:kern w:val="2"/>
                      <w:sz w:val="21"/>
                      <w:szCs w:val="21"/>
                      <w:lang w:val="en-US" w:eastAsia="zh-CN" w:bidi="ar-SA"/>
                    </w:rPr>
                  </w:pPr>
                  <w:r>
                    <w:rPr>
                      <w:color w:val="auto"/>
                      <w:szCs w:val="21"/>
                    </w:rPr>
                    <w:t>本项目不属于规定的禁止准入类和许可准入类。</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69E35">
                  <w:pPr>
                    <w:adjustRightInd w:val="0"/>
                    <w:snapToGrid w:val="0"/>
                    <w:jc w:val="center"/>
                    <w:rPr>
                      <w:color w:val="auto"/>
                      <w:szCs w:val="21"/>
                      <w:highlight w:val="none"/>
                    </w:rPr>
                  </w:pPr>
                  <w:r>
                    <w:rPr>
                      <w:color w:val="auto"/>
                      <w:szCs w:val="21"/>
                      <w:highlight w:val="none"/>
                    </w:rPr>
                    <w:t>符合</w:t>
                  </w:r>
                </w:p>
              </w:tc>
            </w:tr>
            <w:tr w14:paraId="782D2C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restart"/>
                  <w:tcBorders>
                    <w:top w:val="single" w:color="000000" w:sz="4" w:space="0"/>
                    <w:left w:val="single" w:color="000000" w:sz="4" w:space="0"/>
                    <w:right w:val="single" w:color="000000" w:sz="4" w:space="0"/>
                  </w:tcBorders>
                  <w:shd w:val="clear" w:color="auto" w:fill="auto"/>
                  <w:vAlign w:val="center"/>
                </w:tcPr>
                <w:p w14:paraId="3BA8EFBF">
                  <w:pPr>
                    <w:adjustRightInd w:val="0"/>
                    <w:snapToGrid w:val="0"/>
                    <w:jc w:val="center"/>
                    <w:rPr>
                      <w:rFonts w:hint="eastAsia" w:ascii="Times New Roman" w:hAnsi="Times New Roman" w:eastAsia="宋体" w:cs="Times New Roman"/>
                      <w:color w:val="auto"/>
                      <w:kern w:val="2"/>
                      <w:sz w:val="21"/>
                      <w:szCs w:val="21"/>
                      <w:lang w:val="en-US" w:eastAsia="zh-CN" w:bidi="ar-SA"/>
                    </w:rPr>
                  </w:pPr>
                  <w:r>
                    <w:rPr>
                      <w:color w:val="auto"/>
                      <w:szCs w:val="21"/>
                    </w:rPr>
                    <w:t>3</w:t>
                  </w:r>
                </w:p>
              </w:tc>
              <w:tc>
                <w:tcPr>
                  <w:tcW w:w="942" w:type="pct"/>
                  <w:vMerge w:val="restart"/>
                  <w:tcBorders>
                    <w:top w:val="single" w:color="000000" w:sz="4" w:space="0"/>
                    <w:left w:val="single" w:color="000000" w:sz="4" w:space="0"/>
                    <w:right w:val="single" w:color="000000" w:sz="4" w:space="0"/>
                  </w:tcBorders>
                  <w:shd w:val="clear" w:color="auto" w:fill="auto"/>
                  <w:vAlign w:val="center"/>
                </w:tcPr>
                <w:p w14:paraId="7496E269">
                  <w:pPr>
                    <w:widowControl/>
                    <w:jc w:val="center"/>
                    <w:rPr>
                      <w:color w:val="auto"/>
                      <w:szCs w:val="21"/>
                    </w:rPr>
                  </w:pPr>
                  <w:r>
                    <w:rPr>
                      <w:color w:val="auto"/>
                      <w:szCs w:val="21"/>
                    </w:rPr>
                    <w:t>中山市生态环境局关于印发《中山市涉挥发性有机物项目环保管理规定》的通知</w:t>
                  </w:r>
                </w:p>
                <w:p w14:paraId="462321B8">
                  <w:pPr>
                    <w:widowControl/>
                    <w:jc w:val="center"/>
                    <w:rPr>
                      <w:rFonts w:ascii="Times New Roman" w:hAnsi="Times New Roman" w:eastAsia="宋体" w:cs="Times New Roman"/>
                      <w:color w:val="auto"/>
                      <w:kern w:val="2"/>
                      <w:sz w:val="21"/>
                      <w:szCs w:val="21"/>
                      <w:lang w:val="en-US" w:eastAsia="zh-CN" w:bidi="ar-SA"/>
                    </w:rPr>
                  </w:pPr>
                  <w:r>
                    <w:rPr>
                      <w:color w:val="auto"/>
                      <w:szCs w:val="21"/>
                    </w:rPr>
                    <w:t>中环规字〔2021〕1号</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0A7B7">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Cs w:val="21"/>
                      <w:highlight w:val="none"/>
                      <w:lang w:bidi="ar"/>
                    </w:rPr>
                    <w:t>中山市大气重点区域（东区、西区、南区、石岐街道）不</w:t>
                  </w:r>
                  <w:r>
                    <w:rPr>
                      <w:rFonts w:hint="default" w:ascii="Times New Roman" w:hAnsi="Times New Roman" w:cs="Times New Roman"/>
                      <w:color w:val="auto"/>
                      <w:kern w:val="0"/>
                      <w:szCs w:val="21"/>
                      <w:highlight w:val="none"/>
                      <w:lang w:eastAsia="zh-CN" w:bidi="ar"/>
                    </w:rPr>
                    <w:t>再</w:t>
                  </w:r>
                  <w:r>
                    <w:rPr>
                      <w:rFonts w:hint="default" w:ascii="Times New Roman" w:hAnsi="Times New Roman" w:cs="Times New Roman"/>
                      <w:color w:val="auto"/>
                      <w:kern w:val="0"/>
                      <w:szCs w:val="21"/>
                      <w:highlight w:val="none"/>
                      <w:lang w:bidi="ar"/>
                    </w:rPr>
                    <w:t>审批（或备案）新建、扩建涉</w:t>
                  </w:r>
                  <w:r>
                    <w:rPr>
                      <w:rFonts w:hint="eastAsia" w:ascii="Times New Roman" w:hAnsi="Times New Roman" w:cs="Times New Roman"/>
                      <w:color w:val="auto"/>
                      <w:kern w:val="0"/>
                      <w:szCs w:val="21"/>
                      <w:highlight w:val="none"/>
                      <w:lang w:eastAsia="zh-CN" w:bidi="ar"/>
                    </w:rPr>
                    <w:t>非甲烷总烃、TVOC</w:t>
                  </w:r>
                  <w:r>
                    <w:rPr>
                      <w:rFonts w:hint="default" w:ascii="Times New Roman" w:hAnsi="Times New Roman" w:cs="Times New Roman"/>
                      <w:color w:val="auto"/>
                      <w:kern w:val="0"/>
                      <w:szCs w:val="21"/>
                      <w:highlight w:val="none"/>
                      <w:lang w:bidi="ar"/>
                    </w:rPr>
                    <w:t>产排工业项目</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7E05A3">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Cs w:val="21"/>
                      <w:highlight w:val="none"/>
                      <w:lang w:bidi="ar"/>
                    </w:rPr>
                    <w:t>项目选址位于</w:t>
                  </w:r>
                  <w:r>
                    <w:rPr>
                      <w:rFonts w:hint="eastAsia" w:ascii="Times New Roman" w:hAnsi="Times New Roman" w:cs="Times New Roman"/>
                      <w:color w:val="auto"/>
                      <w:kern w:val="0"/>
                      <w:szCs w:val="21"/>
                      <w:highlight w:val="none"/>
                      <w:lang w:val="en-US" w:eastAsia="zh-CN" w:bidi="ar"/>
                    </w:rPr>
                    <w:t>东凤</w:t>
                  </w:r>
                  <w:r>
                    <w:rPr>
                      <w:rFonts w:hint="default" w:ascii="Times New Roman" w:hAnsi="Times New Roman" w:cs="Times New Roman"/>
                      <w:color w:val="auto"/>
                      <w:kern w:val="0"/>
                      <w:szCs w:val="21"/>
                      <w:highlight w:val="none"/>
                      <w:lang w:bidi="ar"/>
                    </w:rPr>
                    <w:t>镇，不属于大气重点区域（东区、西区、南区、石岐街道）范围；选址区域属于二类大气环境功能区，不在一类环境功能区内</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FC1A0">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14:paraId="5C5739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38F16E5F">
                  <w:pPr>
                    <w:adjustRightInd w:val="0"/>
                    <w:snapToGrid w:val="0"/>
                    <w:jc w:val="center"/>
                    <w:rPr>
                      <w:rFonts w:hint="eastAsia" w:eastAsia="宋体"/>
                      <w:color w:val="auto"/>
                      <w:szCs w:val="21"/>
                      <w:highlight w:val="none"/>
                      <w:lang w:val="en-US" w:eastAsia="zh-CN"/>
                    </w:rPr>
                  </w:pPr>
                </w:p>
              </w:tc>
              <w:tc>
                <w:tcPr>
                  <w:tcW w:w="942" w:type="pct"/>
                  <w:vMerge w:val="continue"/>
                  <w:tcBorders>
                    <w:left w:val="single" w:color="000000" w:sz="4" w:space="0"/>
                    <w:right w:val="single" w:color="000000" w:sz="4" w:space="0"/>
                  </w:tcBorders>
                  <w:shd w:val="clear" w:color="auto" w:fill="auto"/>
                  <w:vAlign w:val="center"/>
                </w:tcPr>
                <w:p w14:paraId="6F815FA3">
                  <w:pPr>
                    <w:wordWrap w:val="0"/>
                    <w:topLinePunct/>
                    <w:adjustRightInd w:val="0"/>
                    <w:snapToGrid w:val="0"/>
                    <w:jc w:val="center"/>
                    <w:rPr>
                      <w:color w:val="auto"/>
                      <w:szCs w:val="21"/>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F5C67B">
                  <w:pPr>
                    <w:widowControl/>
                    <w:jc w:val="left"/>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0"/>
                      <w:szCs w:val="21"/>
                      <w:highlight w:val="none"/>
                      <w:lang w:bidi="ar"/>
                    </w:rPr>
                    <w:t>全市范围内原则上不再审批或备案新建、扩建涉使用非低（无）VOCs涂料、油墨、胶</w:t>
                  </w:r>
                  <w:r>
                    <w:rPr>
                      <w:rFonts w:hint="default" w:ascii="Times New Roman" w:hAnsi="Times New Roman" w:cs="Times New Roman"/>
                      <w:color w:val="auto"/>
                      <w:kern w:val="0"/>
                      <w:szCs w:val="21"/>
                      <w:highlight w:val="none"/>
                      <w:lang w:eastAsia="zh-CN" w:bidi="ar"/>
                    </w:rPr>
                    <w:t>黏</w:t>
                  </w:r>
                  <w:r>
                    <w:rPr>
                      <w:rFonts w:hint="default" w:ascii="Times New Roman" w:hAnsi="Times New Roman" w:cs="Times New Roman"/>
                      <w:color w:val="auto"/>
                      <w:kern w:val="0"/>
                      <w:szCs w:val="21"/>
                      <w:highlight w:val="none"/>
                      <w:lang w:bidi="ar"/>
                    </w:rPr>
                    <w:t>剂原辅材料的工业类项目</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4B778">
                  <w:pPr>
                    <w:pStyle w:val="9"/>
                    <w:wordWrap w:val="0"/>
                    <w:topLinePunct/>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项目使用的环氧树脂AB胶VOC检测报告中含量3g/L，密度为1g/cm3，3g/L÷1g/cm3=3g/kg=3%，则VOC含量为3%，符合《胶粘剂挥发性有机化合物限量》（GB33372-2020）中本体型胶粘剂其他行业中环氧树脂类限量≤50g/kg，属于低挥发性有机物原辅材料；</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E46362">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14:paraId="0A5260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6A0A0C4F">
                  <w:pPr>
                    <w:adjustRightInd w:val="0"/>
                    <w:snapToGrid w:val="0"/>
                    <w:jc w:val="center"/>
                    <w:rPr>
                      <w:rFonts w:hint="eastAsia" w:eastAsia="宋体"/>
                      <w:color w:val="auto"/>
                      <w:szCs w:val="21"/>
                      <w:highlight w:val="none"/>
                      <w:lang w:val="en-US" w:eastAsia="zh-CN"/>
                    </w:rPr>
                  </w:pPr>
                </w:p>
              </w:tc>
              <w:tc>
                <w:tcPr>
                  <w:tcW w:w="942" w:type="pct"/>
                  <w:vMerge w:val="continue"/>
                  <w:tcBorders>
                    <w:left w:val="single" w:color="000000" w:sz="4" w:space="0"/>
                    <w:right w:val="single" w:color="000000" w:sz="4" w:space="0"/>
                  </w:tcBorders>
                  <w:shd w:val="clear" w:color="auto" w:fill="auto"/>
                  <w:vAlign w:val="center"/>
                </w:tcPr>
                <w:p w14:paraId="346F7810">
                  <w:pPr>
                    <w:wordWrap w:val="0"/>
                    <w:topLinePunct/>
                    <w:adjustRightInd w:val="0"/>
                    <w:snapToGrid w:val="0"/>
                    <w:jc w:val="center"/>
                    <w:rPr>
                      <w:color w:val="auto"/>
                      <w:szCs w:val="21"/>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23C5A7">
                  <w:pPr>
                    <w:widowControl/>
                    <w:jc w:val="left"/>
                    <w:rPr>
                      <w:rFonts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Cs w:val="21"/>
                      <w:highlight w:val="none"/>
                      <w:lang w:bidi="ar"/>
                    </w:rPr>
                    <w:t>对项目生产流程中涉及</w:t>
                  </w:r>
                  <w:r>
                    <w:rPr>
                      <w:rFonts w:hint="eastAsia" w:ascii="Times New Roman" w:hAnsi="Times New Roman" w:eastAsia="宋体" w:cs="Times New Roman"/>
                      <w:color w:val="auto"/>
                      <w:kern w:val="0"/>
                      <w:szCs w:val="21"/>
                      <w:highlight w:val="none"/>
                      <w:lang w:eastAsia="zh-CN" w:bidi="ar"/>
                    </w:rPr>
                    <w:t>非甲烷总烃、TVOC</w:t>
                  </w:r>
                  <w:r>
                    <w:rPr>
                      <w:rFonts w:hint="default" w:ascii="Times New Roman" w:hAnsi="Times New Roman" w:eastAsia="宋体" w:cs="Times New Roman"/>
                      <w:color w:val="auto"/>
                      <w:kern w:val="0"/>
                      <w:szCs w:val="21"/>
                      <w:highlight w:val="none"/>
                      <w:lang w:bidi="ar"/>
                    </w:rPr>
                    <w:t>的生产环节或服务活动，应当在密闭空间或者设备中进行，废气经废气收集系统和（或）处理设施后排放。如经过论证不能密闭，则应采取局部气体收集处理措施。收集效率</w:t>
                  </w:r>
                  <w:r>
                    <w:rPr>
                      <w:rFonts w:hint="default" w:ascii="Times New Roman" w:hAnsi="Times New Roman" w:eastAsia="宋体" w:cs="Times New Roman"/>
                      <w:color w:val="auto"/>
                      <w:kern w:val="0"/>
                      <w:szCs w:val="21"/>
                      <w:highlight w:val="none"/>
                      <w:lang w:eastAsia="zh-CN" w:bidi="ar"/>
                    </w:rPr>
                    <w:t>应</w:t>
                  </w:r>
                  <w:r>
                    <w:rPr>
                      <w:rFonts w:hint="default" w:ascii="Times New Roman" w:hAnsi="Times New Roman" w:eastAsia="宋体" w:cs="Times New Roman"/>
                      <w:color w:val="auto"/>
                      <w:kern w:val="0"/>
                      <w:szCs w:val="21"/>
                      <w:highlight w:val="none"/>
                      <w:lang w:bidi="ar"/>
                    </w:rPr>
                    <w:t>不低于90%，需在环评报告</w:t>
                  </w:r>
                  <w:r>
                    <w:rPr>
                      <w:rFonts w:hint="default" w:ascii="Times New Roman" w:hAnsi="Times New Roman" w:eastAsia="宋体" w:cs="Times New Roman"/>
                      <w:color w:val="auto"/>
                      <w:kern w:val="0"/>
                      <w:szCs w:val="21"/>
                      <w:highlight w:val="none"/>
                      <w:lang w:eastAsia="zh-CN" w:bidi="ar"/>
                    </w:rPr>
                    <w:t>中</w:t>
                  </w:r>
                  <w:r>
                    <w:rPr>
                      <w:rFonts w:hint="default" w:ascii="Times New Roman" w:hAnsi="Times New Roman" w:eastAsia="宋体" w:cs="Times New Roman"/>
                      <w:color w:val="auto"/>
                      <w:kern w:val="0"/>
                      <w:szCs w:val="21"/>
                      <w:highlight w:val="none"/>
                      <w:lang w:bidi="ar"/>
                    </w:rPr>
                    <w:t>充分论述并确定收集效率要求。</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71CFB1">
                  <w:pPr>
                    <w:widowControl/>
                    <w:jc w:val="left"/>
                    <w:rPr>
                      <w:rFonts w:ascii="Times New Roman" w:hAnsi="Times New Roman" w:eastAsia="宋体" w:cs="Times New Roman"/>
                      <w:color w:val="auto"/>
                      <w:kern w:val="2"/>
                      <w:sz w:val="21"/>
                      <w:szCs w:val="21"/>
                      <w:lang w:val="en-US" w:eastAsia="zh-CN" w:bidi="ar-SA"/>
                    </w:rPr>
                  </w:pPr>
                  <w:r>
                    <w:rPr>
                      <w:color w:val="auto"/>
                      <w:szCs w:val="21"/>
                    </w:rPr>
                    <w:t>项目</w:t>
                  </w:r>
                  <w:r>
                    <w:rPr>
                      <w:rFonts w:hint="eastAsia"/>
                      <w:color w:val="auto"/>
                      <w:szCs w:val="21"/>
                    </w:rPr>
                    <w:t>烘料、注塑</w:t>
                  </w:r>
                  <w:r>
                    <w:rPr>
                      <w:rFonts w:hint="eastAsia"/>
                      <w:color w:val="auto"/>
                      <w:szCs w:val="21"/>
                      <w:lang w:val="en-US" w:eastAsia="zh-CN"/>
                    </w:rPr>
                    <w:t>工序废气</w:t>
                  </w:r>
                  <w:r>
                    <w:rPr>
                      <w:color w:val="auto"/>
                      <w:szCs w:val="21"/>
                    </w:rPr>
                    <w:t>拟设置</w:t>
                  </w:r>
                  <w:r>
                    <w:rPr>
                      <w:rFonts w:hint="eastAsia"/>
                      <w:color w:val="auto"/>
                      <w:szCs w:val="21"/>
                      <w:lang w:val="en-US" w:eastAsia="zh-CN"/>
                    </w:rPr>
                    <w:t>集气罩</w:t>
                  </w:r>
                  <w:r>
                    <w:rPr>
                      <w:color w:val="auto"/>
                      <w:szCs w:val="21"/>
                    </w:rPr>
                    <w:t>收集</w:t>
                  </w:r>
                  <w:r>
                    <w:rPr>
                      <w:rFonts w:hint="eastAsia"/>
                      <w:color w:val="auto"/>
                      <w:szCs w:val="21"/>
                    </w:rPr>
                    <w:t>（车间较大，废气治理设施设计风量不满足其达到密闭负压收集效果）</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6EA12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14:paraId="5A6EB3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bottom w:val="single" w:color="000000" w:sz="4" w:space="0"/>
                    <w:right w:val="single" w:color="000000" w:sz="4" w:space="0"/>
                  </w:tcBorders>
                  <w:shd w:val="clear" w:color="auto" w:fill="auto"/>
                  <w:vAlign w:val="center"/>
                </w:tcPr>
                <w:p w14:paraId="5AF62486">
                  <w:pPr>
                    <w:adjustRightInd w:val="0"/>
                    <w:snapToGrid w:val="0"/>
                    <w:jc w:val="center"/>
                    <w:rPr>
                      <w:rFonts w:hint="eastAsia" w:eastAsia="宋体"/>
                      <w:color w:val="auto"/>
                      <w:szCs w:val="21"/>
                      <w:highlight w:val="none"/>
                      <w:lang w:val="en-US" w:eastAsia="zh-CN"/>
                    </w:rPr>
                  </w:pPr>
                </w:p>
              </w:tc>
              <w:tc>
                <w:tcPr>
                  <w:tcW w:w="942" w:type="pct"/>
                  <w:vMerge w:val="continue"/>
                  <w:tcBorders>
                    <w:left w:val="single" w:color="000000" w:sz="4" w:space="0"/>
                    <w:bottom w:val="single" w:color="000000" w:sz="4" w:space="0"/>
                    <w:right w:val="single" w:color="000000" w:sz="4" w:space="0"/>
                  </w:tcBorders>
                  <w:shd w:val="clear" w:color="auto" w:fill="auto"/>
                  <w:vAlign w:val="center"/>
                </w:tcPr>
                <w:p w14:paraId="3BC96EB5">
                  <w:pPr>
                    <w:wordWrap w:val="0"/>
                    <w:topLinePunct/>
                    <w:adjustRightInd w:val="0"/>
                    <w:snapToGrid w:val="0"/>
                    <w:jc w:val="center"/>
                    <w:rPr>
                      <w:color w:val="auto"/>
                      <w:szCs w:val="21"/>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431F50">
                  <w:pPr>
                    <w:widowControl/>
                    <w:jc w:val="left"/>
                    <w:rPr>
                      <w:rFonts w:ascii="Times New Roman" w:hAnsi="Times New Roman" w:eastAsia="宋体" w:cs="Times New Roman"/>
                      <w:color w:val="auto"/>
                      <w:kern w:val="2"/>
                      <w:sz w:val="21"/>
                      <w:szCs w:val="21"/>
                      <w:lang w:val="en-US" w:eastAsia="zh-CN" w:bidi="ar-SA"/>
                    </w:rPr>
                  </w:pPr>
                  <w:r>
                    <w:rPr>
                      <w:color w:val="auto"/>
                      <w:szCs w:val="21"/>
                    </w:rPr>
                    <w:t>涉VOCs产排企业应建设适宜、合理、高效的治污设施，VOCs废气总净化效率不应低于90%。由于技术可行性等因素，确实达不到90%的，需在环评报告中充分论述并确定处理效率要求。</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28D7DA">
                  <w:pPr>
                    <w:widowControl/>
                    <w:jc w:val="left"/>
                    <w:rPr>
                      <w:rFonts w:ascii="Times New Roman" w:hAnsi="Times New Roman" w:eastAsia="宋体" w:cs="Times New Roman"/>
                      <w:color w:val="auto"/>
                      <w:kern w:val="2"/>
                      <w:sz w:val="21"/>
                      <w:szCs w:val="21"/>
                      <w:lang w:val="en-US" w:eastAsia="zh-CN" w:bidi="ar-SA"/>
                    </w:rPr>
                  </w:pPr>
                  <w:r>
                    <w:rPr>
                      <w:color w:val="auto"/>
                      <w:szCs w:val="21"/>
                    </w:rPr>
                    <w:t>项目的</w:t>
                  </w:r>
                  <w:r>
                    <w:rPr>
                      <w:rFonts w:hint="eastAsia"/>
                      <w:color w:val="auto"/>
                      <w:szCs w:val="21"/>
                    </w:rPr>
                    <w:t>烘料、注塑</w:t>
                  </w:r>
                  <w:r>
                    <w:rPr>
                      <w:rFonts w:hint="eastAsia"/>
                      <w:color w:val="auto"/>
                      <w:szCs w:val="21"/>
                      <w:lang w:val="en-US" w:eastAsia="zh-CN"/>
                    </w:rPr>
                    <w:t>工序废气</w:t>
                  </w:r>
                  <w:r>
                    <w:rPr>
                      <w:color w:val="auto"/>
                      <w:szCs w:val="21"/>
                    </w:rPr>
                    <w:t>采用了二级活性炭吸附装置的治理技术，二级活性炭吸附属于塑料行业排污技术规范中的可行性技术，由于本项目的VOCs的产生浓度不高，因此处理效率以</w:t>
                  </w:r>
                  <w:r>
                    <w:rPr>
                      <w:rFonts w:hint="eastAsia"/>
                      <w:color w:val="auto"/>
                      <w:szCs w:val="21"/>
                      <w:lang w:val="en-US" w:eastAsia="zh-CN"/>
                    </w:rPr>
                    <w:t>75</w:t>
                  </w:r>
                  <w:r>
                    <w:rPr>
                      <w:color w:val="auto"/>
                      <w:szCs w:val="21"/>
                    </w:rPr>
                    <w:t>%计算</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92A2E">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14:paraId="217313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restart"/>
                  <w:tcBorders>
                    <w:top w:val="single" w:color="000000" w:sz="4" w:space="0"/>
                    <w:left w:val="single" w:color="000000" w:sz="4" w:space="0"/>
                    <w:right w:val="single" w:color="000000" w:sz="4" w:space="0"/>
                  </w:tcBorders>
                  <w:shd w:val="clear" w:color="auto" w:fill="auto"/>
                  <w:vAlign w:val="center"/>
                </w:tcPr>
                <w:p w14:paraId="61F5E493">
                  <w:pPr>
                    <w:pStyle w:val="10"/>
                    <w:spacing w:before="0" w:after="0" w:line="240" w:lineRule="auto"/>
                    <w:ind w:right="0" w:rightChars="0"/>
                    <w:jc w:val="center"/>
                    <w:rPr>
                      <w:rFonts w:hint="eastAsia" w:ascii="Times New Roman" w:hAnsi="Times New Roman" w:eastAsia="宋体" w:cs="Times New Roman"/>
                      <w:color w:val="auto"/>
                      <w:kern w:val="0"/>
                      <w:sz w:val="21"/>
                      <w:szCs w:val="21"/>
                      <w:lang w:val="en-US" w:eastAsia="zh-CN" w:bidi="ar"/>
                    </w:rPr>
                  </w:pPr>
                  <w:r>
                    <w:rPr>
                      <w:color w:val="auto"/>
                      <w:sz w:val="21"/>
                      <w:szCs w:val="21"/>
                      <w:lang w:bidi="ar"/>
                    </w:rPr>
                    <w:t>4</w:t>
                  </w:r>
                </w:p>
              </w:tc>
              <w:tc>
                <w:tcPr>
                  <w:tcW w:w="942" w:type="pct"/>
                  <w:vMerge w:val="restart"/>
                  <w:tcBorders>
                    <w:top w:val="single" w:color="000000" w:sz="4" w:space="0"/>
                    <w:left w:val="single" w:color="000000" w:sz="4" w:space="0"/>
                    <w:right w:val="single" w:color="000000" w:sz="4" w:space="0"/>
                  </w:tcBorders>
                  <w:shd w:val="clear" w:color="auto" w:fill="auto"/>
                  <w:vAlign w:val="center"/>
                </w:tcPr>
                <w:p w14:paraId="60DF7675">
                  <w:pPr>
                    <w:pStyle w:val="10"/>
                    <w:spacing w:before="0" w:after="0" w:line="240" w:lineRule="auto"/>
                    <w:ind w:right="0" w:rightChars="0"/>
                    <w:jc w:val="center"/>
                    <w:rPr>
                      <w:rFonts w:ascii="Times New Roman" w:hAnsi="Times New Roman" w:eastAsia="宋体" w:cs="Times New Roman"/>
                      <w:color w:val="auto"/>
                      <w:kern w:val="2"/>
                      <w:sz w:val="21"/>
                      <w:szCs w:val="21"/>
                      <w:lang w:val="en-US" w:eastAsia="zh-CN" w:bidi="ar-SA"/>
                    </w:rPr>
                  </w:pPr>
                  <w:r>
                    <w:rPr>
                      <w:color w:val="auto"/>
                      <w:kern w:val="2"/>
                      <w:sz w:val="21"/>
                      <w:szCs w:val="21"/>
                    </w:rPr>
                    <w:t>广东省地方标准《固定污染源挥发性有机物综合排放标准》（DB44/2367-2022）</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A853A">
                  <w:pPr>
                    <w:pStyle w:val="10"/>
                    <w:spacing w:before="0" w:after="0" w:line="240" w:lineRule="auto"/>
                    <w:ind w:right="0" w:rightChars="0"/>
                    <w:jc w:val="left"/>
                    <w:rPr>
                      <w:rFonts w:ascii="Times New Roman" w:hAnsi="Times New Roman" w:eastAsia="宋体" w:cs="Times New Roman"/>
                      <w:color w:val="auto"/>
                      <w:kern w:val="2"/>
                      <w:sz w:val="21"/>
                      <w:szCs w:val="21"/>
                      <w:lang w:val="en-US" w:eastAsia="zh-CN" w:bidi="ar-SA"/>
                    </w:rPr>
                  </w:pPr>
                  <w:r>
                    <w:rPr>
                      <w:color w:val="auto"/>
                      <w:kern w:val="2"/>
                      <w:sz w:val="21"/>
                      <w:szCs w:val="21"/>
                    </w:rPr>
                    <w:t>VOCs物料应储存于密闭的容器、</w:t>
                  </w:r>
                  <w:r>
                    <w:rPr>
                      <w:rFonts w:hint="eastAsia"/>
                      <w:color w:val="auto"/>
                      <w:kern w:val="2"/>
                      <w:sz w:val="21"/>
                      <w:szCs w:val="21"/>
                    </w:rPr>
                    <w:t>包装膜</w:t>
                  </w:r>
                  <w:r>
                    <w:rPr>
                      <w:color w:val="auto"/>
                      <w:kern w:val="2"/>
                      <w:sz w:val="21"/>
                      <w:szCs w:val="21"/>
                    </w:rPr>
                    <w:t>、储罐、储库、料仓中。盛装VOCs物料的容器或包装</w:t>
                  </w:r>
                  <w:r>
                    <w:rPr>
                      <w:rFonts w:hint="eastAsia"/>
                      <w:color w:val="auto"/>
                      <w:kern w:val="2"/>
                      <w:sz w:val="21"/>
                      <w:szCs w:val="21"/>
                    </w:rPr>
                    <w:t>膜</w:t>
                  </w:r>
                  <w:r>
                    <w:rPr>
                      <w:color w:val="auto"/>
                      <w:kern w:val="2"/>
                      <w:sz w:val="21"/>
                      <w:szCs w:val="21"/>
                    </w:rPr>
                    <w:t>应存放于室内，或存于设置有雨棚、遮阳和防渗设施的专用场地。盛装VOCs物料的容器或包装</w:t>
                  </w:r>
                  <w:r>
                    <w:rPr>
                      <w:rFonts w:hint="eastAsia"/>
                      <w:color w:val="auto"/>
                      <w:kern w:val="2"/>
                      <w:sz w:val="21"/>
                      <w:szCs w:val="21"/>
                    </w:rPr>
                    <w:t>膜</w:t>
                  </w:r>
                  <w:r>
                    <w:rPr>
                      <w:color w:val="auto"/>
                      <w:kern w:val="2"/>
                      <w:sz w:val="21"/>
                      <w:szCs w:val="21"/>
                    </w:rPr>
                    <w:t>在非取用状态时应加盖、封口，保持密闭。</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DD8FD2">
                  <w:pPr>
                    <w:pStyle w:val="10"/>
                    <w:spacing w:before="0" w:after="0" w:line="240" w:lineRule="auto"/>
                    <w:ind w:right="0" w:rightChars="0"/>
                    <w:jc w:val="left"/>
                    <w:rPr>
                      <w:rFonts w:ascii="Times New Roman" w:hAnsi="Times New Roman" w:eastAsia="宋体" w:cs="Times New Roman"/>
                      <w:color w:val="auto"/>
                      <w:kern w:val="2"/>
                      <w:sz w:val="21"/>
                      <w:szCs w:val="21"/>
                      <w:lang w:val="en-US" w:eastAsia="zh-CN" w:bidi="ar-SA"/>
                    </w:rPr>
                  </w:pPr>
                  <w:r>
                    <w:rPr>
                      <w:rFonts w:hint="eastAsia"/>
                      <w:color w:val="auto"/>
                      <w:kern w:val="2"/>
                      <w:sz w:val="21"/>
                      <w:szCs w:val="21"/>
                    </w:rPr>
                    <w:t>项目VOCs物料储存在专用包装袋，具有防雨、防渗功能。存放在车间。采用密闭包装袋进行物料转移。</w:t>
                  </w:r>
                  <w:r>
                    <w:rPr>
                      <w:rFonts w:hint="default" w:ascii="Times New Roman" w:hAnsi="Times New Roman" w:eastAsia="宋体" w:cs="Times New Roman"/>
                      <w:color w:val="000000"/>
                      <w:kern w:val="2"/>
                      <w:sz w:val="21"/>
                      <w:szCs w:val="21"/>
                      <w:highlight w:val="none"/>
                      <w:lang w:val="en-US" w:eastAsia="zh-CN" w:bidi="ar-SA"/>
                    </w:rPr>
                    <w:t>氧树脂AB胶</w:t>
                  </w:r>
                  <w:r>
                    <w:rPr>
                      <w:rFonts w:hint="eastAsia" w:ascii="Times New Roman" w:hAnsi="Times New Roman" w:eastAsia="宋体" w:cs="Times New Roman"/>
                      <w:color w:val="000000"/>
                      <w:kern w:val="2"/>
                      <w:sz w:val="21"/>
                      <w:szCs w:val="21"/>
                      <w:highlight w:val="none"/>
                      <w:lang w:val="en-US" w:eastAsia="zh-CN" w:bidi="ar-SA"/>
                    </w:rPr>
                    <w:t>使用密封桶储存；</w:t>
                  </w:r>
                  <w:r>
                    <w:rPr>
                      <w:rFonts w:hint="eastAsia"/>
                      <w:color w:val="auto"/>
                      <w:kern w:val="2"/>
                      <w:sz w:val="21"/>
                      <w:szCs w:val="21"/>
                    </w:rPr>
                    <w:t>废气处理产生的饱和活性炭用密封袋储存，且存放于危险废物房内。</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07BF29">
                  <w:pPr>
                    <w:pStyle w:val="10"/>
                    <w:spacing w:before="0" w:after="0" w:line="240" w:lineRule="auto"/>
                    <w:ind w:right="0" w:rightChars="0"/>
                    <w:jc w:val="center"/>
                    <w:rPr>
                      <w:rFonts w:ascii="Times New Roman" w:hAnsi="Times New Roman" w:eastAsia="宋体" w:cs="Times New Roman"/>
                      <w:color w:val="auto"/>
                      <w:kern w:val="2"/>
                      <w:sz w:val="21"/>
                      <w:szCs w:val="21"/>
                      <w:lang w:val="en-US" w:eastAsia="zh-CN" w:bidi="ar-SA"/>
                    </w:rPr>
                  </w:pPr>
                  <w:r>
                    <w:rPr>
                      <w:color w:val="auto"/>
                      <w:kern w:val="2"/>
                      <w:sz w:val="21"/>
                      <w:szCs w:val="21"/>
                    </w:rPr>
                    <w:t>符合</w:t>
                  </w:r>
                </w:p>
              </w:tc>
            </w:tr>
            <w:tr w14:paraId="2271AD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6E4ED6D0">
                  <w:pPr>
                    <w:adjustRightInd w:val="0"/>
                    <w:snapToGrid w:val="0"/>
                    <w:jc w:val="center"/>
                    <w:rPr>
                      <w:rFonts w:hint="eastAsia" w:eastAsia="宋体"/>
                      <w:color w:val="auto"/>
                      <w:szCs w:val="21"/>
                      <w:highlight w:val="none"/>
                      <w:lang w:val="en-US" w:eastAsia="zh-CN"/>
                    </w:rPr>
                  </w:pPr>
                </w:p>
              </w:tc>
              <w:tc>
                <w:tcPr>
                  <w:tcW w:w="942" w:type="pct"/>
                  <w:vMerge w:val="continue"/>
                  <w:tcBorders>
                    <w:left w:val="single" w:color="000000" w:sz="4" w:space="0"/>
                    <w:right w:val="single" w:color="000000" w:sz="4" w:space="0"/>
                  </w:tcBorders>
                  <w:shd w:val="clear" w:color="auto" w:fill="auto"/>
                  <w:vAlign w:val="center"/>
                </w:tcPr>
                <w:p w14:paraId="70FE0C6F">
                  <w:pPr>
                    <w:wordWrap w:val="0"/>
                    <w:topLinePunct/>
                    <w:adjustRightInd w:val="0"/>
                    <w:snapToGrid w:val="0"/>
                    <w:jc w:val="center"/>
                    <w:rPr>
                      <w:color w:val="auto"/>
                      <w:szCs w:val="21"/>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4E1E7">
                  <w:pPr>
                    <w:pStyle w:val="10"/>
                    <w:spacing w:before="0" w:after="0" w:line="240" w:lineRule="auto"/>
                    <w:ind w:right="0" w:rightChars="0"/>
                    <w:jc w:val="left"/>
                    <w:rPr>
                      <w:rFonts w:ascii="Times New Roman" w:hAnsi="Times New Roman" w:eastAsia="宋体" w:cs="Times New Roman"/>
                      <w:color w:val="auto"/>
                      <w:kern w:val="2"/>
                      <w:sz w:val="21"/>
                      <w:szCs w:val="21"/>
                      <w:lang w:val="en-US" w:eastAsia="zh-CN" w:bidi="ar-SA"/>
                    </w:rPr>
                  </w:pPr>
                  <w:r>
                    <w:rPr>
                      <w:color w:val="auto"/>
                      <w:kern w:val="2"/>
                      <w:sz w:val="21"/>
                      <w:szCs w:val="21"/>
                    </w:rPr>
                    <w:t>VOCs物料转移和输送无组织排放控制要求：①液态VOCs物料应采用密闭管道输送。采用非管道输送方式转移液态VOCs物料时应采用密闭容器、罐车。②粉状、粒状VOCs物料应采用气力输送设备、管状带式输送机、螺旋输送机等密闭输送方式，或者采用密闭的</w:t>
                  </w:r>
                  <w:r>
                    <w:rPr>
                      <w:rFonts w:hint="eastAsia"/>
                      <w:color w:val="auto"/>
                      <w:kern w:val="2"/>
                      <w:sz w:val="21"/>
                      <w:szCs w:val="21"/>
                    </w:rPr>
                    <w:t>包装膜</w:t>
                  </w:r>
                  <w:r>
                    <w:rPr>
                      <w:color w:val="auto"/>
                      <w:kern w:val="2"/>
                      <w:sz w:val="21"/>
                      <w:szCs w:val="21"/>
                    </w:rPr>
                    <w:t>、容器或罐车进行物料转移。</w:t>
                  </w:r>
                </w:p>
              </w:tc>
              <w:tc>
                <w:tcPr>
                  <w:tcW w:w="1422" w:type="pct"/>
                  <w:vMerge w:val="restart"/>
                  <w:tcBorders>
                    <w:top w:val="single" w:color="000000" w:sz="4" w:space="0"/>
                    <w:left w:val="single" w:color="000000" w:sz="4" w:space="0"/>
                    <w:right w:val="single" w:color="000000" w:sz="4" w:space="0"/>
                  </w:tcBorders>
                  <w:shd w:val="clear" w:color="auto" w:fill="auto"/>
                  <w:vAlign w:val="center"/>
                </w:tcPr>
                <w:p w14:paraId="67520AE6">
                  <w:pPr>
                    <w:pStyle w:val="10"/>
                    <w:spacing w:before="0" w:after="0" w:line="240" w:lineRule="auto"/>
                    <w:ind w:right="0" w:rightChars="0"/>
                    <w:jc w:val="left"/>
                    <w:rPr>
                      <w:rFonts w:ascii="Times New Roman" w:hAnsi="Times New Roman" w:eastAsia="宋体" w:cs="Times New Roman"/>
                      <w:color w:val="auto"/>
                      <w:kern w:val="2"/>
                      <w:sz w:val="21"/>
                      <w:szCs w:val="21"/>
                      <w:lang w:val="en-US" w:eastAsia="zh-CN" w:bidi="ar-SA"/>
                    </w:rPr>
                  </w:pPr>
                  <w:r>
                    <w:rPr>
                      <w:rFonts w:hint="eastAsia"/>
                      <w:color w:val="auto"/>
                      <w:kern w:val="2"/>
                      <w:sz w:val="21"/>
                      <w:szCs w:val="21"/>
                    </w:rPr>
                    <w:t>项目所使用的VOCs物料（包括含VOCs原辅材料、含VOCs废料等）均采用密封袋进行物料转移，粒状VOCs物料采用密闭的包装袋、容器进行物料转移；本项目设置</w:t>
                  </w:r>
                  <w:r>
                    <w:rPr>
                      <w:rFonts w:hint="eastAsia"/>
                      <w:color w:val="auto"/>
                      <w:kern w:val="2"/>
                      <w:sz w:val="21"/>
                      <w:szCs w:val="21"/>
                      <w:lang w:val="en-US" w:eastAsia="zh-CN"/>
                    </w:rPr>
                    <w:t>外部集气罩</w:t>
                  </w:r>
                  <w:r>
                    <w:rPr>
                      <w:rFonts w:hint="eastAsia"/>
                      <w:color w:val="auto"/>
                      <w:kern w:val="2"/>
                      <w:sz w:val="21"/>
                      <w:szCs w:val="21"/>
                    </w:rPr>
                    <w:t>收集，收集后烘料、注塑成型工序废气后排放至废气收集处</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51178E">
                  <w:pPr>
                    <w:pStyle w:val="10"/>
                    <w:spacing w:before="0" w:after="0" w:line="240" w:lineRule="auto"/>
                    <w:ind w:right="0" w:rightChars="0"/>
                    <w:jc w:val="center"/>
                    <w:rPr>
                      <w:rFonts w:ascii="Times New Roman" w:hAnsi="Times New Roman" w:eastAsia="宋体" w:cs="Times New Roman"/>
                      <w:color w:val="auto"/>
                      <w:kern w:val="2"/>
                      <w:sz w:val="21"/>
                      <w:szCs w:val="21"/>
                      <w:lang w:val="en-US" w:eastAsia="zh-CN" w:bidi="ar-SA"/>
                    </w:rPr>
                  </w:pPr>
                  <w:r>
                    <w:rPr>
                      <w:color w:val="auto"/>
                      <w:kern w:val="2"/>
                      <w:sz w:val="21"/>
                      <w:szCs w:val="21"/>
                    </w:rPr>
                    <w:t>符合</w:t>
                  </w:r>
                </w:p>
              </w:tc>
            </w:tr>
            <w:tr w14:paraId="46CB85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638FE578">
                  <w:pPr>
                    <w:adjustRightInd w:val="0"/>
                    <w:snapToGrid w:val="0"/>
                    <w:jc w:val="center"/>
                    <w:rPr>
                      <w:rFonts w:hint="eastAsia" w:eastAsia="宋体"/>
                      <w:color w:val="auto"/>
                      <w:szCs w:val="21"/>
                      <w:highlight w:val="none"/>
                      <w:lang w:val="en-US" w:eastAsia="zh-CN"/>
                    </w:rPr>
                  </w:pPr>
                </w:p>
              </w:tc>
              <w:tc>
                <w:tcPr>
                  <w:tcW w:w="942" w:type="pct"/>
                  <w:vMerge w:val="continue"/>
                  <w:tcBorders>
                    <w:left w:val="single" w:color="000000" w:sz="4" w:space="0"/>
                    <w:right w:val="single" w:color="000000" w:sz="4" w:space="0"/>
                  </w:tcBorders>
                  <w:shd w:val="clear" w:color="auto" w:fill="auto"/>
                  <w:vAlign w:val="center"/>
                </w:tcPr>
                <w:p w14:paraId="6B6B00C5">
                  <w:pPr>
                    <w:wordWrap w:val="0"/>
                    <w:topLinePunct/>
                    <w:adjustRightInd w:val="0"/>
                    <w:snapToGrid w:val="0"/>
                    <w:jc w:val="center"/>
                    <w:rPr>
                      <w:color w:val="auto"/>
                      <w:szCs w:val="21"/>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BA6613">
                  <w:pPr>
                    <w:pStyle w:val="10"/>
                    <w:spacing w:before="0" w:after="0" w:line="240" w:lineRule="auto"/>
                    <w:ind w:right="0" w:rightChars="0"/>
                    <w:jc w:val="left"/>
                    <w:rPr>
                      <w:rFonts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rPr>
                    <w:t>VOCs物料转移和输送无组织排放控制要求：①液态VOCs物料应采用密闭管道输送。采用非管道输送方式转移液态VOCs物料时应采用密闭容器、罐车。②粉状、</w:t>
                  </w:r>
                  <w:r>
                    <w:rPr>
                      <w:rFonts w:hint="default" w:ascii="Times New Roman" w:hAnsi="Times New Roman" w:cs="Times New Roman"/>
                      <w:color w:val="auto"/>
                      <w:sz w:val="21"/>
                      <w:szCs w:val="21"/>
                      <w:highlight w:val="none"/>
                      <w:lang w:eastAsia="zh-CN"/>
                    </w:rPr>
                    <w:t>粒状</w:t>
                  </w:r>
                  <w:r>
                    <w:rPr>
                      <w:rFonts w:hint="default" w:ascii="Times New Roman" w:hAnsi="Times New Roman" w:cs="Times New Roman"/>
                      <w:color w:val="auto"/>
                      <w:sz w:val="21"/>
                      <w:szCs w:val="21"/>
                      <w:highlight w:val="none"/>
                    </w:rPr>
                    <w:t>VOCs物料应采用气力输送设备、管状带式输送机、螺旋输送机等密闭输送方式，或者采用密闭的包装袋、容器或罐车进行物料转移。</w:t>
                  </w:r>
                </w:p>
              </w:tc>
              <w:tc>
                <w:tcPr>
                  <w:tcW w:w="1422" w:type="pct"/>
                  <w:vMerge w:val="continue"/>
                  <w:tcBorders>
                    <w:left w:val="single" w:color="000000" w:sz="4" w:space="0"/>
                    <w:bottom w:val="single" w:color="000000" w:sz="4" w:space="0"/>
                    <w:right w:val="single" w:color="000000" w:sz="4" w:space="0"/>
                  </w:tcBorders>
                  <w:shd w:val="clear" w:color="auto" w:fill="auto"/>
                  <w:vAlign w:val="center"/>
                </w:tcPr>
                <w:p w14:paraId="7B2925E6">
                  <w:pPr>
                    <w:pStyle w:val="10"/>
                    <w:spacing w:before="0" w:after="0" w:line="240" w:lineRule="auto"/>
                    <w:ind w:right="0" w:rightChars="0"/>
                    <w:jc w:val="left"/>
                    <w:rPr>
                      <w:rFonts w:ascii="Times New Roman" w:hAnsi="Times New Roman" w:eastAsia="宋体" w:cs="Times New Roman"/>
                      <w:color w:val="auto"/>
                      <w:kern w:val="2"/>
                      <w:sz w:val="21"/>
                      <w:szCs w:val="21"/>
                      <w:lang w:val="en-US" w:eastAsia="zh-CN" w:bidi="ar-SA"/>
                    </w:rPr>
                  </w:pP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DB482">
                  <w:pPr>
                    <w:pStyle w:val="10"/>
                    <w:spacing w:before="0" w:after="0" w:line="240" w:lineRule="auto"/>
                    <w:ind w:right="0" w:rightChars="0"/>
                    <w:jc w:val="center"/>
                    <w:rPr>
                      <w:rFonts w:ascii="Times New Roman" w:hAnsi="Times New Roman" w:eastAsia="宋体" w:cs="Times New Roman"/>
                      <w:color w:val="auto"/>
                      <w:kern w:val="2"/>
                      <w:sz w:val="21"/>
                      <w:szCs w:val="21"/>
                      <w:lang w:val="en-US" w:eastAsia="zh-CN" w:bidi="ar-SA"/>
                    </w:rPr>
                  </w:pPr>
                  <w:r>
                    <w:rPr>
                      <w:color w:val="auto"/>
                      <w:kern w:val="2"/>
                      <w:sz w:val="21"/>
                      <w:szCs w:val="21"/>
                    </w:rPr>
                    <w:t>符合</w:t>
                  </w:r>
                </w:p>
              </w:tc>
            </w:tr>
            <w:tr w14:paraId="72A093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bottom w:val="single" w:color="000000" w:sz="4" w:space="0"/>
                    <w:right w:val="single" w:color="000000" w:sz="4" w:space="0"/>
                  </w:tcBorders>
                  <w:shd w:val="clear" w:color="auto" w:fill="auto"/>
                  <w:vAlign w:val="center"/>
                </w:tcPr>
                <w:p w14:paraId="1C5C628F">
                  <w:pPr>
                    <w:adjustRightInd w:val="0"/>
                    <w:snapToGrid w:val="0"/>
                    <w:jc w:val="center"/>
                    <w:rPr>
                      <w:rFonts w:hint="eastAsia" w:eastAsia="宋体"/>
                      <w:color w:val="auto"/>
                      <w:szCs w:val="21"/>
                      <w:highlight w:val="none"/>
                      <w:lang w:val="en-US" w:eastAsia="zh-CN"/>
                    </w:rPr>
                  </w:pPr>
                </w:p>
              </w:tc>
              <w:tc>
                <w:tcPr>
                  <w:tcW w:w="942" w:type="pct"/>
                  <w:vMerge w:val="continue"/>
                  <w:tcBorders>
                    <w:left w:val="single" w:color="000000" w:sz="4" w:space="0"/>
                    <w:bottom w:val="single" w:color="000000" w:sz="4" w:space="0"/>
                    <w:right w:val="single" w:color="000000" w:sz="4" w:space="0"/>
                  </w:tcBorders>
                  <w:shd w:val="clear" w:color="auto" w:fill="auto"/>
                  <w:vAlign w:val="center"/>
                </w:tcPr>
                <w:p w14:paraId="30EC12D4">
                  <w:pPr>
                    <w:wordWrap w:val="0"/>
                    <w:topLinePunct/>
                    <w:adjustRightInd w:val="0"/>
                    <w:snapToGrid w:val="0"/>
                    <w:jc w:val="center"/>
                    <w:rPr>
                      <w:color w:val="auto"/>
                      <w:szCs w:val="21"/>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93E039">
                  <w:pPr>
                    <w:pStyle w:val="10"/>
                    <w:keepNext w:val="0"/>
                    <w:keepLines w:val="0"/>
                    <w:pageBreakBefore w:val="0"/>
                    <w:kinsoku/>
                    <w:wordWrap/>
                    <w:overflowPunct/>
                    <w:topLinePunct w:val="0"/>
                    <w:autoSpaceDE/>
                    <w:autoSpaceDN/>
                    <w:bidi w:val="0"/>
                    <w:spacing w:line="240" w:lineRule="auto"/>
                    <w:ind w:right="0" w:right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废气收集系统排风罩（集气罩）的设置应符合GB/T16758 的规定。采用外部排风罩的，应按GB/T16758、AQ/T4274-2016规定的方法测量控制风速，测量点应选取在距排风罩开口面最远处的VOCs无组织排放位置，控制风速不应低于0.3m/s（行业相关规范有具体规定的，按相关规定执行）。</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07F625">
                  <w:pPr>
                    <w:pStyle w:val="10"/>
                    <w:keepNext w:val="0"/>
                    <w:keepLines w:val="0"/>
                    <w:pageBreakBefore w:val="0"/>
                    <w:kinsoku/>
                    <w:wordWrap/>
                    <w:overflowPunct/>
                    <w:topLinePunct w:val="0"/>
                    <w:autoSpaceDE/>
                    <w:autoSpaceDN/>
                    <w:bidi w:val="0"/>
                    <w:spacing w:line="240" w:lineRule="auto"/>
                    <w:ind w:right="0" w:right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2"/>
                      <w:sz w:val="21"/>
                      <w:szCs w:val="21"/>
                      <w:highlight w:val="none"/>
                      <w:lang w:eastAsia="zh-CN"/>
                    </w:rPr>
                    <w:t>本项目采用集气罩符合GB/T16758、AQ/T4274-2016规定，控制风速不应低于0.3m/s</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C9546">
                  <w:pPr>
                    <w:pStyle w:val="10"/>
                    <w:spacing w:before="0" w:after="0" w:line="240" w:lineRule="auto"/>
                    <w:ind w:right="0" w:rightChars="0"/>
                    <w:jc w:val="center"/>
                    <w:rPr>
                      <w:rFonts w:ascii="Times New Roman" w:hAnsi="Times New Roman" w:eastAsia="宋体" w:cs="Times New Roman"/>
                      <w:color w:val="auto"/>
                      <w:kern w:val="2"/>
                      <w:sz w:val="21"/>
                      <w:szCs w:val="21"/>
                      <w:lang w:val="en-US" w:eastAsia="zh-CN" w:bidi="ar-SA"/>
                    </w:rPr>
                  </w:pPr>
                  <w:r>
                    <w:rPr>
                      <w:color w:val="auto"/>
                      <w:kern w:val="2"/>
                      <w:sz w:val="21"/>
                      <w:szCs w:val="21"/>
                    </w:rPr>
                    <w:t>符合</w:t>
                  </w:r>
                </w:p>
              </w:tc>
            </w:tr>
            <w:tr w14:paraId="55C563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restart"/>
                  <w:tcBorders>
                    <w:top w:val="single" w:color="000000" w:sz="4" w:space="0"/>
                    <w:left w:val="single" w:color="000000" w:sz="4" w:space="0"/>
                    <w:right w:val="single" w:color="000000" w:sz="4" w:space="0"/>
                  </w:tcBorders>
                  <w:shd w:val="clear" w:color="auto" w:fill="auto"/>
                  <w:vAlign w:val="center"/>
                </w:tcPr>
                <w:p w14:paraId="19369904">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w:t>
                  </w:r>
                </w:p>
              </w:tc>
              <w:tc>
                <w:tcPr>
                  <w:tcW w:w="942" w:type="pct"/>
                  <w:vMerge w:val="restart"/>
                  <w:tcBorders>
                    <w:top w:val="single" w:color="000000" w:sz="4" w:space="0"/>
                    <w:left w:val="single" w:color="000000" w:sz="4" w:space="0"/>
                    <w:right w:val="single" w:color="000000" w:sz="4" w:space="0"/>
                  </w:tcBorders>
                  <w:shd w:val="clear" w:color="auto" w:fill="auto"/>
                  <w:vAlign w:val="center"/>
                </w:tcPr>
                <w:p w14:paraId="09B7B793">
                  <w:pPr>
                    <w:widowControl/>
                    <w:jc w:val="center"/>
                    <w:rPr>
                      <w:color w:val="auto"/>
                      <w:szCs w:val="21"/>
                      <w:highlight w:val="none"/>
                    </w:rPr>
                  </w:pPr>
                  <w:r>
                    <w:rPr>
                      <w:rFonts w:hint="default" w:ascii="Times New Roman" w:hAnsi="Times New Roman" w:eastAsia="宋体" w:cs="Times New Roman"/>
                      <w:color w:val="auto"/>
                      <w:kern w:val="0"/>
                      <w:szCs w:val="21"/>
                      <w:highlight w:val="none"/>
                      <w:lang w:bidi="ar"/>
                    </w:rPr>
                    <w:t>中山市人民政府关于印发中山市</w:t>
                  </w:r>
                  <w:r>
                    <w:rPr>
                      <w:rFonts w:hint="eastAsia"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三线一单</w:t>
                  </w:r>
                  <w:r>
                    <w:rPr>
                      <w:rFonts w:hint="eastAsia"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生态环境分区管控方案的通知中府〔202</w:t>
                  </w:r>
                  <w:r>
                    <w:rPr>
                      <w:rFonts w:hint="eastAsia" w:ascii="Times New Roman" w:hAnsi="Times New Roman" w:eastAsia="宋体" w:cs="Times New Roman"/>
                      <w:color w:val="auto"/>
                      <w:kern w:val="0"/>
                      <w:szCs w:val="21"/>
                      <w:highlight w:val="none"/>
                      <w:lang w:val="en-US" w:eastAsia="zh-CN" w:bidi="ar"/>
                    </w:rPr>
                    <w:t>4</w:t>
                  </w:r>
                  <w:r>
                    <w:rPr>
                      <w:rFonts w:hint="default" w:ascii="Times New Roman" w:hAnsi="Times New Roman" w:eastAsia="宋体" w:cs="Times New Roman"/>
                      <w:color w:val="auto"/>
                      <w:kern w:val="0"/>
                      <w:szCs w:val="21"/>
                      <w:highlight w:val="none"/>
                      <w:lang w:bidi="ar"/>
                    </w:rPr>
                    <w:t>〕</w:t>
                  </w:r>
                  <w:r>
                    <w:rPr>
                      <w:rFonts w:hint="default" w:ascii="Times New Roman" w:hAnsi="Times New Roman" w:eastAsia="宋体" w:cs="Times New Roman"/>
                      <w:color w:val="auto"/>
                      <w:kern w:val="0"/>
                      <w:szCs w:val="21"/>
                      <w:highlight w:val="none"/>
                      <w:lang w:val="en-US" w:eastAsia="zh-CN" w:bidi="ar"/>
                    </w:rPr>
                    <w:t>5</w:t>
                  </w:r>
                  <w:r>
                    <w:rPr>
                      <w:rFonts w:hint="eastAsia" w:ascii="Times New Roman" w:hAnsi="Times New Roman" w:eastAsia="宋体" w:cs="Times New Roman"/>
                      <w:color w:val="auto"/>
                      <w:kern w:val="0"/>
                      <w:szCs w:val="21"/>
                      <w:highlight w:val="none"/>
                      <w:lang w:val="en-US" w:eastAsia="zh-CN" w:bidi="ar"/>
                    </w:rPr>
                    <w:t>2</w:t>
                  </w:r>
                  <w:r>
                    <w:rPr>
                      <w:rFonts w:hint="default" w:ascii="Times New Roman" w:hAnsi="Times New Roman" w:eastAsia="宋体" w:cs="Times New Roman"/>
                      <w:color w:val="auto"/>
                      <w:kern w:val="0"/>
                      <w:szCs w:val="21"/>
                      <w:highlight w:val="none"/>
                      <w:lang w:bidi="ar"/>
                    </w:rPr>
                    <w:t>号中表</w:t>
                  </w:r>
                  <w:r>
                    <w:rPr>
                      <w:rFonts w:hint="eastAsia" w:ascii="Times New Roman" w:hAnsi="Times New Roman" w:eastAsia="宋体" w:cs="Times New Roman"/>
                      <w:color w:val="auto"/>
                      <w:kern w:val="0"/>
                      <w:szCs w:val="21"/>
                      <w:highlight w:val="none"/>
                      <w:lang w:val="en-US" w:eastAsia="zh-CN" w:bidi="ar"/>
                    </w:rPr>
                    <w:t>41东凤</w:t>
                  </w:r>
                  <w:r>
                    <w:rPr>
                      <w:rFonts w:hint="default" w:ascii="Times New Roman" w:hAnsi="Times New Roman" w:eastAsia="宋体" w:cs="Times New Roman"/>
                      <w:color w:val="auto"/>
                      <w:kern w:val="0"/>
                      <w:szCs w:val="21"/>
                      <w:highlight w:val="none"/>
                      <w:lang w:bidi="ar"/>
                    </w:rPr>
                    <w:t>镇</w:t>
                  </w:r>
                  <w:r>
                    <w:rPr>
                      <w:rFonts w:hint="eastAsia" w:ascii="Times New Roman" w:hAnsi="Times New Roman" w:eastAsia="宋体" w:cs="Times New Roman"/>
                      <w:color w:val="auto"/>
                      <w:kern w:val="0"/>
                      <w:szCs w:val="21"/>
                      <w:highlight w:val="none"/>
                      <w:lang w:val="en-US" w:eastAsia="zh-CN" w:bidi="ar"/>
                    </w:rPr>
                    <w:t>一般</w:t>
                  </w:r>
                  <w:r>
                    <w:rPr>
                      <w:rFonts w:hint="default" w:ascii="Times New Roman" w:hAnsi="Times New Roman" w:eastAsia="宋体" w:cs="Times New Roman"/>
                      <w:color w:val="auto"/>
                      <w:kern w:val="0"/>
                      <w:szCs w:val="21"/>
                      <w:highlight w:val="none"/>
                      <w:lang w:bidi="ar"/>
                    </w:rPr>
                    <w:t>管控单元准入清单</w:t>
                  </w:r>
                  <w:r>
                    <w:rPr>
                      <w:rFonts w:hint="default" w:ascii="Times New Roman" w:hAnsi="Times New Roman" w:eastAsia="宋体" w:cs="Times New Roman"/>
                      <w:color w:val="auto"/>
                      <w:kern w:val="0"/>
                      <w:szCs w:val="21"/>
                      <w:highlight w:val="none"/>
                      <w:lang w:eastAsia="zh-CN" w:bidi="ar"/>
                    </w:rPr>
                    <w:t>（环境管控单元编码</w:t>
                  </w:r>
                  <w:r>
                    <w:rPr>
                      <w:rFonts w:hint="default" w:ascii="Times New Roman" w:hAnsi="Times New Roman" w:eastAsia="宋体" w:cs="Times New Roman"/>
                      <w:color w:val="auto"/>
                      <w:kern w:val="0"/>
                      <w:szCs w:val="21"/>
                      <w:highlight w:val="none"/>
                      <w:lang w:val="en-US" w:eastAsia="zh-CN" w:bidi="ar"/>
                    </w:rPr>
                    <w:t>ZH44200020010</w:t>
                  </w:r>
                  <w:r>
                    <w:rPr>
                      <w:rFonts w:hint="default" w:ascii="Times New Roman" w:hAnsi="Times New Roman" w:eastAsia="宋体" w:cs="Times New Roman"/>
                      <w:color w:val="auto"/>
                      <w:kern w:val="0"/>
                      <w:szCs w:val="21"/>
                      <w:highlight w:val="none"/>
                      <w:lang w:eastAsia="zh-CN" w:bidi="ar"/>
                    </w:rPr>
                    <w:t>）</w:t>
                  </w:r>
                </w:p>
              </w:tc>
              <w:tc>
                <w:tcPr>
                  <w:tcW w:w="3823"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E100BC">
                  <w:pPr>
                    <w:adjustRightInd w:val="0"/>
                    <w:snapToGrid w:val="0"/>
                    <w:jc w:val="center"/>
                    <w:rPr>
                      <w:color w:val="auto"/>
                      <w:szCs w:val="21"/>
                      <w:highlight w:val="none"/>
                    </w:rPr>
                  </w:pPr>
                  <w:r>
                    <w:rPr>
                      <w:rFonts w:hint="eastAsia"/>
                      <w:b/>
                      <w:bCs/>
                      <w:color w:val="auto"/>
                      <w:kern w:val="0"/>
                      <w:szCs w:val="21"/>
                      <w:highlight w:val="none"/>
                      <w:lang w:bidi="ar"/>
                    </w:rPr>
                    <w:t>区域布局管控要求</w:t>
                  </w:r>
                </w:p>
              </w:tc>
            </w:tr>
            <w:tr w14:paraId="15905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088" w:hRule="atLeast"/>
              </w:trPr>
              <w:tc>
                <w:tcPr>
                  <w:tcW w:w="234" w:type="pct"/>
                  <w:vMerge w:val="continue"/>
                  <w:tcBorders>
                    <w:left w:val="single" w:color="000000" w:sz="4" w:space="0"/>
                    <w:right w:val="single" w:color="000000" w:sz="4" w:space="0"/>
                  </w:tcBorders>
                  <w:shd w:val="clear" w:color="auto" w:fill="auto"/>
                  <w:vAlign w:val="center"/>
                </w:tcPr>
                <w:p w14:paraId="1885E0EB">
                  <w:pPr>
                    <w:adjustRightInd w:val="0"/>
                    <w:snapToGrid w:val="0"/>
                    <w:jc w:val="center"/>
                    <w:rPr>
                      <w:rFonts w:hint="default" w:eastAsia="宋体"/>
                      <w:color w:val="auto"/>
                      <w:szCs w:val="21"/>
                      <w:highlight w:val="none"/>
                      <w:lang w:val="en-US" w:eastAsia="zh-CN"/>
                    </w:rPr>
                  </w:pPr>
                </w:p>
              </w:tc>
              <w:tc>
                <w:tcPr>
                  <w:tcW w:w="942" w:type="pct"/>
                  <w:vMerge w:val="continue"/>
                  <w:tcBorders>
                    <w:left w:val="single" w:color="000000" w:sz="4" w:space="0"/>
                    <w:right w:val="single" w:color="000000" w:sz="4" w:space="0"/>
                  </w:tcBorders>
                  <w:shd w:val="clear" w:color="auto" w:fill="auto"/>
                  <w:vAlign w:val="center"/>
                </w:tcPr>
                <w:p w14:paraId="1E6B036E">
                  <w:pPr>
                    <w:widowControl/>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36C2CD">
                  <w:pPr>
                    <w:widowControl/>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1-1.【产业/鼓励引导类】①调整优化产业空间，促进专业镇转型升级，着力推进智能家电制造、小家电制造产业高端化。</w:t>
                  </w:r>
                </w:p>
                <w:p w14:paraId="45927ED0">
                  <w:pPr>
                    <w:widowControl/>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②鸡鸦水道新沙岛鼓励发展生态休闲产业。</w:t>
                  </w:r>
                </w:p>
              </w:tc>
              <w:tc>
                <w:tcPr>
                  <w:tcW w:w="1422" w:type="pct"/>
                  <w:tcBorders>
                    <w:top w:val="single" w:color="000000" w:sz="4" w:space="0"/>
                    <w:left w:val="single" w:color="000000" w:sz="4" w:space="0"/>
                    <w:right w:val="single" w:color="000000" w:sz="4" w:space="0"/>
                  </w:tcBorders>
                  <w:shd w:val="clear" w:color="auto" w:fill="auto"/>
                  <w:vAlign w:val="center"/>
                </w:tcPr>
                <w:p w14:paraId="0DDA2140">
                  <w:pPr>
                    <w:widowControl/>
                    <w:jc w:val="center"/>
                    <w:rPr>
                      <w:rFonts w:hint="default"/>
                      <w:color w:val="auto"/>
                      <w:szCs w:val="21"/>
                      <w:highlight w:val="none"/>
                      <w:lang w:val="en-US"/>
                    </w:rPr>
                  </w:pPr>
                  <w:r>
                    <w:rPr>
                      <w:color w:val="auto"/>
                      <w:kern w:val="2"/>
                      <w:sz w:val="21"/>
                      <w:szCs w:val="21"/>
                      <w:lang w:val="zh-CN"/>
                    </w:rPr>
                    <w:t>项目</w:t>
                  </w:r>
                  <w:r>
                    <w:rPr>
                      <w:color w:val="auto"/>
                      <w:kern w:val="2"/>
                      <w:sz w:val="21"/>
                      <w:szCs w:val="21"/>
                    </w:rPr>
                    <w:t>主要</w:t>
                  </w:r>
                  <w:r>
                    <w:rPr>
                      <w:rFonts w:hint="eastAsia"/>
                      <w:color w:val="auto"/>
                      <w:kern w:val="2"/>
                      <w:sz w:val="21"/>
                      <w:szCs w:val="21"/>
                    </w:rPr>
                    <w:t>产品为塑料配件</w:t>
                  </w:r>
                  <w:r>
                    <w:rPr>
                      <w:color w:val="auto"/>
                      <w:kern w:val="2"/>
                      <w:sz w:val="21"/>
                      <w:szCs w:val="21"/>
                    </w:rPr>
                    <w:t>，</w:t>
                  </w:r>
                  <w:r>
                    <w:rPr>
                      <w:rFonts w:hint="eastAsia"/>
                      <w:color w:val="auto"/>
                      <w:kern w:val="2"/>
                      <w:sz w:val="21"/>
                      <w:szCs w:val="21"/>
                    </w:rPr>
                    <w:t>不属于家电产业集群，故不属于鼓励引导类</w:t>
                  </w:r>
                </w:p>
              </w:tc>
              <w:tc>
                <w:tcPr>
                  <w:tcW w:w="263" w:type="pct"/>
                  <w:vMerge w:val="restart"/>
                  <w:tcBorders>
                    <w:top w:val="single" w:color="000000" w:sz="4" w:space="0"/>
                    <w:left w:val="single" w:color="000000" w:sz="4" w:space="0"/>
                    <w:right w:val="single" w:color="000000" w:sz="4" w:space="0"/>
                  </w:tcBorders>
                  <w:shd w:val="clear" w:color="auto" w:fill="auto"/>
                  <w:vAlign w:val="center"/>
                </w:tcPr>
                <w:p w14:paraId="09CF3111">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489C6F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02CCB175">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3A1EC4CB">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93CB3">
                  <w:pPr>
                    <w:widowControl/>
                    <w:jc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1-2. 【产业/禁止类】禁止新建、扩建水泥、平板玻璃、化学制浆、生皮制革以及国家规划外的钢铁、原油加工等项目。</w:t>
                  </w:r>
                </w:p>
              </w:tc>
              <w:tc>
                <w:tcPr>
                  <w:tcW w:w="1422" w:type="pct"/>
                  <w:tcBorders>
                    <w:left w:val="single" w:color="000000" w:sz="4" w:space="0"/>
                    <w:right w:val="single" w:color="000000" w:sz="4" w:space="0"/>
                  </w:tcBorders>
                  <w:shd w:val="clear" w:color="auto" w:fill="auto"/>
                  <w:vAlign w:val="center"/>
                </w:tcPr>
                <w:p w14:paraId="34BA15A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color w:val="auto"/>
                      <w:kern w:val="0"/>
                      <w:sz w:val="21"/>
                      <w:szCs w:val="21"/>
                      <w:highlight w:val="none"/>
                      <w:vertAlign w:val="baseline"/>
                      <w:lang w:val="en-US" w:eastAsia="zh-CN" w:bidi="ar-SA"/>
                    </w:rPr>
                  </w:pPr>
                  <w:r>
                    <w:rPr>
                      <w:rFonts w:hint="eastAsia" w:ascii="Times New Roman" w:hAnsi="Times New Roman" w:cs="Times New Roman"/>
                      <w:color w:val="auto"/>
                      <w:szCs w:val="21"/>
                      <w:highlight w:val="none"/>
                      <w:lang w:val="en-US" w:eastAsia="zh-CN"/>
                    </w:rPr>
                    <w:t>项目产品为塑料配件</w:t>
                  </w:r>
                  <w:r>
                    <w:rPr>
                      <w:rFonts w:hint="default" w:ascii="Times New Roman" w:hAnsi="Times New Roman" w:cs="Times New Roman"/>
                      <w:bCs/>
                      <w:color w:val="auto"/>
                      <w:szCs w:val="21"/>
                      <w:highlight w:val="none"/>
                      <w:lang w:val="en-US" w:eastAsia="zh-CN"/>
                    </w:rPr>
                    <w:t>生产</w:t>
                  </w:r>
                  <w:r>
                    <w:rPr>
                      <w:rFonts w:hint="eastAsia" w:ascii="Times New Roman" w:hAnsi="Times New Roman" w:cs="Times New Roman"/>
                      <w:color w:val="auto"/>
                      <w:szCs w:val="21"/>
                      <w:highlight w:val="none"/>
                      <w:lang w:val="en-US" w:eastAsia="zh-CN"/>
                    </w:rPr>
                    <w:t>，行业类别为塑料零件及其他塑料制品制造，不涉及</w:t>
                  </w:r>
                  <w:r>
                    <w:rPr>
                      <w:rFonts w:hint="eastAsia" w:ascii="Times New Roman" w:hAnsi="Times New Roman" w:eastAsia="宋体" w:cs="Times New Roman"/>
                      <w:color w:val="auto"/>
                      <w:kern w:val="0"/>
                      <w:szCs w:val="21"/>
                      <w:highlight w:val="none"/>
                      <w:lang w:val="en-US" w:eastAsia="zh-CN" w:bidi="ar"/>
                    </w:rPr>
                    <w:t>新建、扩建水泥、平板玻璃、化学制浆、生皮制革以及国家规划外的钢铁、原油加工等项目，故</w:t>
                  </w:r>
                  <w:r>
                    <w:rPr>
                      <w:rFonts w:hint="default" w:ascii="Times New Roman" w:hAnsi="Times New Roman" w:cs="Times New Roman"/>
                      <w:color w:val="auto"/>
                      <w:szCs w:val="21"/>
                      <w:highlight w:val="none"/>
                    </w:rPr>
                    <w:t>本项目不属于产业禁止类</w:t>
                  </w:r>
                </w:p>
              </w:tc>
              <w:tc>
                <w:tcPr>
                  <w:tcW w:w="263" w:type="pct"/>
                  <w:vMerge w:val="continue"/>
                  <w:tcBorders>
                    <w:left w:val="single" w:color="000000" w:sz="4" w:space="0"/>
                    <w:right w:val="single" w:color="000000" w:sz="4" w:space="0"/>
                  </w:tcBorders>
                  <w:shd w:val="clear" w:color="auto" w:fill="auto"/>
                  <w:vAlign w:val="center"/>
                </w:tcPr>
                <w:p w14:paraId="66F7DD76">
                  <w:pPr>
                    <w:adjustRightInd w:val="0"/>
                    <w:snapToGrid w:val="0"/>
                    <w:jc w:val="center"/>
                    <w:rPr>
                      <w:color w:val="auto"/>
                      <w:kern w:val="0"/>
                      <w:szCs w:val="21"/>
                      <w:highlight w:val="none"/>
                      <w:lang w:bidi="en-AU"/>
                    </w:rPr>
                  </w:pPr>
                </w:p>
              </w:tc>
            </w:tr>
            <w:tr w14:paraId="0B301C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4675B835">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5360E3EF">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22D797">
                  <w:pPr>
                    <w:widowControl/>
                    <w:jc w:val="center"/>
                    <w:rPr>
                      <w:rFonts w:hint="eastAsia" w:ascii="Times New Roman" w:hAnsi="Times New Roman" w:eastAsia="宋体" w:cs="Times New Roman"/>
                      <w:color w:val="auto"/>
                      <w:kern w:val="2"/>
                      <w:sz w:val="21"/>
                      <w:szCs w:val="21"/>
                      <w:highlight w:val="none"/>
                      <w:lang w:val="en-US" w:eastAsia="zh-CN" w:bidi="ar"/>
                    </w:rPr>
                  </w:pPr>
                  <w:r>
                    <w:rPr>
                      <w:rFonts w:hint="eastAsia" w:ascii="Times New Roman" w:hAnsi="Times New Roman" w:eastAsia="宋体" w:cs="Times New Roman"/>
                      <w:color w:val="auto"/>
                      <w:kern w:val="2"/>
                      <w:sz w:val="21"/>
                      <w:szCs w:val="21"/>
                      <w:highlight w:val="none"/>
                      <w:lang w:val="en-US" w:eastAsia="zh-CN" w:bidi="ar"/>
                    </w:rPr>
                    <w:t>1-3. 【产业/限制类】①印染、牛仔洗水、电镀、鞣革等污染行业须按要求集聚发展、集中治污，新建、扩建“两高”化工项目应在依法合规设立并经规划环评的产业园区内布设，禁止在化工园区外新建、扩建危险化学品建设项目（运输工具加油站、加气站、加氢站及其合建站、制氢加氢一体站，港口（铁路、航空）危险化学品建设项目，危险化学品输送管道以及危险化学品使用单位的配套项目，国家、省、市重点项目配套项目、氢能源重大科技创新平台除外）。</w:t>
                  </w:r>
                </w:p>
              </w:tc>
              <w:tc>
                <w:tcPr>
                  <w:tcW w:w="1422" w:type="pct"/>
                  <w:tcBorders>
                    <w:left w:val="single" w:color="000000" w:sz="4" w:space="0"/>
                    <w:bottom w:val="single" w:color="000000" w:sz="4" w:space="0"/>
                    <w:right w:val="single" w:color="000000" w:sz="4" w:space="0"/>
                  </w:tcBorders>
                  <w:shd w:val="clear" w:color="auto" w:fill="auto"/>
                  <w:vAlign w:val="center"/>
                </w:tcPr>
                <w:p w14:paraId="36A5AF97">
                  <w:pPr>
                    <w:widowControl/>
                    <w:jc w:val="center"/>
                    <w:rPr>
                      <w:color w:val="auto"/>
                      <w:szCs w:val="21"/>
                      <w:highlight w:val="none"/>
                    </w:rPr>
                  </w:pPr>
                  <w:r>
                    <w:rPr>
                      <w:rFonts w:hint="default" w:ascii="Times New Roman" w:hAnsi="Times New Roman" w:cs="Times New Roman"/>
                      <w:color w:val="auto"/>
                      <w:szCs w:val="21"/>
                      <w:highlight w:val="none"/>
                      <w:lang w:eastAsia="zh-CN"/>
                    </w:rPr>
                    <w:t>本项目</w:t>
                  </w:r>
                  <w:r>
                    <w:rPr>
                      <w:rFonts w:hint="eastAsia" w:ascii="Times New Roman" w:hAnsi="Times New Roman" w:cs="Times New Roman"/>
                      <w:color w:val="auto"/>
                      <w:szCs w:val="21"/>
                      <w:highlight w:val="none"/>
                      <w:lang w:val="en-US" w:eastAsia="zh-CN"/>
                    </w:rPr>
                    <w:t>行业类别为塑料零件及其他塑料制品制造，</w:t>
                  </w:r>
                  <w:r>
                    <w:rPr>
                      <w:rFonts w:hint="eastAsia" w:ascii="Times New Roman" w:hAnsi="Times New Roman" w:eastAsia="宋体" w:cs="Times New Roman"/>
                      <w:color w:val="000000"/>
                      <w:kern w:val="0"/>
                      <w:szCs w:val="21"/>
                      <w:highlight w:val="none"/>
                      <w:lang w:eastAsia="zh-CN" w:bidi="ar"/>
                    </w:rPr>
                    <w:t>项目配套</w:t>
                  </w:r>
                  <w:r>
                    <w:rPr>
                      <w:rFonts w:hint="eastAsia" w:ascii="Times New Roman" w:hAnsi="Times New Roman" w:eastAsia="宋体" w:cs="Times New Roman"/>
                      <w:color w:val="000000"/>
                      <w:kern w:val="0"/>
                      <w:szCs w:val="21"/>
                      <w:highlight w:val="none"/>
                      <w:lang w:val="en-US" w:eastAsia="zh-CN" w:bidi="ar"/>
                    </w:rPr>
                    <w:t>投料、混料、烘料、注塑、组装、机加工、点胶、烘干工艺</w:t>
                  </w:r>
                  <w:r>
                    <w:rPr>
                      <w:rFonts w:hint="eastAsia" w:ascii="Times New Roman" w:hAnsi="Times New Roman" w:eastAsia="宋体" w:cs="Times New Roman"/>
                      <w:color w:val="000000"/>
                      <w:kern w:val="0"/>
                      <w:szCs w:val="21"/>
                      <w:highlight w:val="none"/>
                      <w:lang w:eastAsia="zh-CN" w:bidi="ar"/>
                    </w:rPr>
                    <w:t>，项目不属于禁止建设项目</w:t>
                  </w:r>
                  <w:r>
                    <w:rPr>
                      <w:rFonts w:hint="default" w:ascii="Times New Roman" w:hAnsi="Times New Roman" w:cs="Times New Roman"/>
                      <w:color w:val="auto"/>
                      <w:szCs w:val="21"/>
                      <w:highlight w:val="none"/>
                      <w:lang w:eastAsia="zh-CN"/>
                    </w:rPr>
                    <w:t>，不属于</w:t>
                  </w:r>
                  <w:r>
                    <w:rPr>
                      <w:rFonts w:hint="default" w:ascii="Times New Roman" w:hAnsi="Times New Roman" w:eastAsia="宋体" w:cs="Times New Roman"/>
                      <w:color w:val="auto"/>
                      <w:kern w:val="0"/>
                      <w:szCs w:val="21"/>
                      <w:highlight w:val="none"/>
                      <w:lang w:val="en-US" w:eastAsia="zh-CN" w:bidi="ar"/>
                    </w:rPr>
                    <w:t>印染、牛仔洗水、电镀、鞣革等污染行业</w:t>
                  </w:r>
                  <w:r>
                    <w:rPr>
                      <w:rFonts w:hint="eastAsia" w:ascii="Times New Roman" w:hAnsi="Times New Roman" w:eastAsia="宋体" w:cs="Times New Roman"/>
                      <w:color w:val="auto"/>
                      <w:kern w:val="0"/>
                      <w:szCs w:val="21"/>
                      <w:highlight w:val="none"/>
                      <w:lang w:val="en-US" w:eastAsia="zh-CN" w:bidi="ar"/>
                    </w:rPr>
                    <w:t>，不属于“两高”项目，不涉及新建、扩建危险化学品建设项目，故</w:t>
                  </w:r>
                  <w:r>
                    <w:rPr>
                      <w:rFonts w:hint="default" w:ascii="Times New Roman" w:hAnsi="Times New Roman" w:cs="Times New Roman"/>
                      <w:color w:val="auto"/>
                      <w:szCs w:val="21"/>
                      <w:highlight w:val="none"/>
                      <w:lang w:eastAsia="zh-CN"/>
                    </w:rPr>
                    <w:t>不属于产业限制类</w:t>
                  </w:r>
                </w:p>
              </w:tc>
              <w:tc>
                <w:tcPr>
                  <w:tcW w:w="263" w:type="pct"/>
                  <w:vMerge w:val="continue"/>
                  <w:tcBorders>
                    <w:left w:val="single" w:color="000000" w:sz="4" w:space="0"/>
                    <w:right w:val="single" w:color="000000" w:sz="4" w:space="0"/>
                  </w:tcBorders>
                  <w:shd w:val="clear" w:color="auto" w:fill="auto"/>
                  <w:vAlign w:val="center"/>
                </w:tcPr>
                <w:p w14:paraId="289D918A">
                  <w:pPr>
                    <w:adjustRightInd w:val="0"/>
                    <w:snapToGrid w:val="0"/>
                    <w:jc w:val="center"/>
                    <w:rPr>
                      <w:color w:val="auto"/>
                      <w:szCs w:val="21"/>
                      <w:highlight w:val="none"/>
                    </w:rPr>
                  </w:pPr>
                </w:p>
              </w:tc>
            </w:tr>
            <w:tr w14:paraId="4C81B7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7B1EFEB9">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666D2A9B">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B6639">
                  <w:pPr>
                    <w:widowControl/>
                    <w:jc w:val="center"/>
                    <w:rPr>
                      <w:rFonts w:hint="eastAsia" w:ascii="Times New Roman" w:hAnsi="Times New Roman" w:eastAsia="宋体" w:cs="Times New Roman"/>
                      <w:color w:val="auto"/>
                      <w:kern w:val="2"/>
                      <w:sz w:val="21"/>
                      <w:szCs w:val="21"/>
                      <w:highlight w:val="none"/>
                      <w:lang w:val="en-US" w:eastAsia="zh-CN" w:bidi="ar"/>
                    </w:rPr>
                  </w:pPr>
                  <w:r>
                    <w:rPr>
                      <w:rFonts w:hint="eastAsia"/>
                      <w:color w:val="auto"/>
                    </w:rPr>
                    <w:t>1-4. 【大气/鼓励引导类】鼓励小家电产业集聚发展，鼓励建设“VOCs环保共性产业园”及配套溶剂集中回收、活性炭集中再生工程，提高VOCs治理效率。</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C9D104">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项目</w:t>
                  </w:r>
                  <w:r>
                    <w:rPr>
                      <w:rFonts w:hint="eastAsia" w:ascii="Times New Roman" w:hAnsi="Times New Roman" w:cs="Times New Roman"/>
                      <w:color w:val="auto"/>
                      <w:szCs w:val="21"/>
                      <w:highlight w:val="none"/>
                      <w:lang w:val="en-US" w:eastAsia="zh-CN"/>
                    </w:rPr>
                    <w:t>行业类别为塑料零件及其他塑料制品制造，不属于小家电产业，无需进入共性产业园，故不属于</w:t>
                  </w:r>
                  <w:r>
                    <w:rPr>
                      <w:rFonts w:hint="eastAsia"/>
                      <w:color w:val="auto"/>
                    </w:rPr>
                    <w:t>大气鼓励引导类</w:t>
                  </w:r>
                </w:p>
              </w:tc>
              <w:tc>
                <w:tcPr>
                  <w:tcW w:w="263" w:type="pct"/>
                  <w:tcBorders>
                    <w:left w:val="single" w:color="000000" w:sz="4" w:space="0"/>
                    <w:right w:val="single" w:color="000000" w:sz="4" w:space="0"/>
                  </w:tcBorders>
                  <w:shd w:val="clear" w:color="auto" w:fill="auto"/>
                  <w:vAlign w:val="center"/>
                </w:tcPr>
                <w:p w14:paraId="470B94E9">
                  <w:pPr>
                    <w:adjustRightInd w:val="0"/>
                    <w:snapToGrid w:val="0"/>
                    <w:jc w:val="center"/>
                    <w:rPr>
                      <w:color w:val="auto"/>
                      <w:szCs w:val="21"/>
                      <w:highlight w:val="none"/>
                    </w:rPr>
                  </w:pPr>
                  <w:r>
                    <w:rPr>
                      <w:color w:val="auto"/>
                      <w:szCs w:val="21"/>
                      <w:highlight w:val="none"/>
                    </w:rPr>
                    <w:t>符合</w:t>
                  </w:r>
                </w:p>
              </w:tc>
            </w:tr>
            <w:tr w14:paraId="20DDC6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42EABE1A">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1A7E890E">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44765">
                  <w:pPr>
                    <w:widowControl/>
                    <w:jc w:val="center"/>
                    <w:rPr>
                      <w:rFonts w:hint="eastAsia"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1-5. 【大气/限制类】原则上不再审批或备案新建、扩建涉使用非低（无）VOCs涂料、油墨、胶粘剂原辅材料的工业类项目，相关豁免情形除外。</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3788A">
                  <w:pPr>
                    <w:keepNext w:val="0"/>
                    <w:keepLines w:val="0"/>
                    <w:pageBreakBefore w:val="0"/>
                    <w:widowControl w:val="0"/>
                    <w:kinsoku/>
                    <w:wordWrap w:val="0"/>
                    <w:overflowPunct/>
                    <w:topLinePunct/>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olor w:val="000000"/>
                      <w:sz w:val="21"/>
                      <w:szCs w:val="21"/>
                      <w:highlight w:val="none"/>
                      <w:lang w:val="en-US" w:eastAsia="zh-CN"/>
                    </w:rPr>
                    <w:t>项目使用的环氧树脂AB胶VOC检测报告中含量3g/L，密度为1g/cm3，3g/L÷1g/cm3=3g/kg=3%，则VOC含量为3%，符合《胶粘剂挥发性有机化合物限量》（GB33372-2020）中本体型胶粘剂其他行业中环氧树脂类限量≤50g/kg，属于低挥发性有机物原辅材料</w:t>
                  </w:r>
                </w:p>
              </w:tc>
              <w:tc>
                <w:tcPr>
                  <w:tcW w:w="263" w:type="pct"/>
                  <w:tcBorders>
                    <w:left w:val="single" w:color="000000" w:sz="4" w:space="0"/>
                    <w:right w:val="single" w:color="000000" w:sz="4" w:space="0"/>
                  </w:tcBorders>
                  <w:shd w:val="clear" w:color="auto" w:fill="auto"/>
                  <w:vAlign w:val="center"/>
                </w:tcPr>
                <w:p w14:paraId="6A1EE132">
                  <w:pPr>
                    <w:adjustRightInd w:val="0"/>
                    <w:snapToGrid w:val="0"/>
                    <w:jc w:val="center"/>
                    <w:rPr>
                      <w:color w:val="auto"/>
                      <w:szCs w:val="21"/>
                      <w:highlight w:val="none"/>
                    </w:rPr>
                  </w:pPr>
                  <w:r>
                    <w:rPr>
                      <w:color w:val="auto"/>
                      <w:szCs w:val="21"/>
                      <w:highlight w:val="none"/>
                    </w:rPr>
                    <w:t>符合</w:t>
                  </w:r>
                </w:p>
              </w:tc>
            </w:tr>
            <w:tr w14:paraId="6D12AD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58681E24">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55927728">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36983">
                  <w:pPr>
                    <w:widowControl/>
                    <w:jc w:val="center"/>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1-6. 【土壤/综合类】禁止在农用地优先保护区域建设重点行业项目，严格控制优先保护区域周边新建重点行业项目，已建成的项目应严格做好污染治理和风险管控措施，积极采用新技术、新工艺，加快提标升级改造，防控土壤污染。</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ECF960">
                  <w:pPr>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eastAsia="zh-CN"/>
                    </w:rPr>
                    <w:t>属于</w:t>
                  </w:r>
                  <w:r>
                    <w:rPr>
                      <w:rFonts w:hint="default" w:ascii="Times New Roman" w:hAnsi="Times New Roman" w:cs="Times New Roman"/>
                      <w:color w:val="auto"/>
                      <w:szCs w:val="21"/>
                      <w:highlight w:val="none"/>
                    </w:rPr>
                    <w:t>一类工业用地，不属于</w:t>
                  </w:r>
                  <w:r>
                    <w:rPr>
                      <w:rFonts w:hint="default" w:ascii="Times New Roman" w:hAnsi="Times New Roman" w:eastAsia="宋体" w:cs="Times New Roman"/>
                      <w:color w:val="auto"/>
                      <w:kern w:val="0"/>
                      <w:szCs w:val="21"/>
                      <w:highlight w:val="none"/>
                      <w:lang w:val="en-US" w:eastAsia="zh-CN" w:bidi="ar"/>
                    </w:rPr>
                    <w:t>农用地优先保护区域建设重点行业项目</w:t>
                  </w:r>
                </w:p>
              </w:tc>
              <w:tc>
                <w:tcPr>
                  <w:tcW w:w="263" w:type="pct"/>
                  <w:tcBorders>
                    <w:left w:val="single" w:color="000000" w:sz="4" w:space="0"/>
                    <w:right w:val="single" w:color="000000" w:sz="4" w:space="0"/>
                  </w:tcBorders>
                  <w:shd w:val="clear" w:color="auto" w:fill="auto"/>
                  <w:vAlign w:val="center"/>
                </w:tcPr>
                <w:p w14:paraId="36AC4970">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2D6F06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55163763">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5D07F4A6">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B7042">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1-7. 【土壤/限制类】建设用地地块用途变更为住宅、公共管理与公共服务用地时，变更前应当按照规定进行土壤污染状况调查。</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A6A1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建设</w:t>
                  </w:r>
                  <w:r>
                    <w:rPr>
                      <w:rFonts w:hint="eastAsia" w:ascii="Times New Roman" w:hAnsi="Times New Roman" w:eastAsia="宋体" w:cs="Times New Roman"/>
                      <w:color w:val="auto"/>
                      <w:kern w:val="2"/>
                      <w:sz w:val="21"/>
                      <w:szCs w:val="21"/>
                      <w:highlight w:val="none"/>
                      <w:lang w:val="en-US" w:eastAsia="zh-CN" w:bidi="ar-SA"/>
                    </w:rPr>
                    <w:t>项目</w:t>
                  </w:r>
                  <w:r>
                    <w:rPr>
                      <w:rFonts w:hint="default" w:ascii="Times New Roman" w:hAnsi="Times New Roman" w:eastAsia="宋体" w:cs="Times New Roman"/>
                      <w:color w:val="auto"/>
                      <w:kern w:val="2"/>
                      <w:sz w:val="21"/>
                      <w:szCs w:val="21"/>
                      <w:highlight w:val="none"/>
                      <w:lang w:val="en-US" w:eastAsia="zh-CN" w:bidi="ar-SA"/>
                    </w:rPr>
                    <w:t>用地地块用途</w:t>
                  </w:r>
                  <w:r>
                    <w:rPr>
                      <w:rFonts w:hint="eastAsia" w:ascii="Times New Roman" w:hAnsi="Times New Roman" w:eastAsia="宋体" w:cs="Times New Roman"/>
                      <w:color w:val="auto"/>
                      <w:kern w:val="2"/>
                      <w:sz w:val="21"/>
                      <w:szCs w:val="21"/>
                      <w:highlight w:val="none"/>
                      <w:lang w:val="en-US" w:eastAsia="zh-CN" w:bidi="ar-SA"/>
                    </w:rPr>
                    <w:t>为工业用地，不涉及变更</w:t>
                  </w:r>
                  <w:r>
                    <w:rPr>
                      <w:rFonts w:hint="default" w:ascii="Times New Roman" w:hAnsi="Times New Roman" w:eastAsia="宋体" w:cs="Times New Roman"/>
                      <w:color w:val="auto"/>
                      <w:kern w:val="2"/>
                      <w:sz w:val="21"/>
                      <w:szCs w:val="21"/>
                      <w:highlight w:val="none"/>
                      <w:lang w:val="en-US" w:eastAsia="zh-CN" w:bidi="ar-SA"/>
                    </w:rPr>
                    <w:t>为住宅、公共管理与公共服务用地</w:t>
                  </w:r>
                </w:p>
              </w:tc>
              <w:tc>
                <w:tcPr>
                  <w:tcW w:w="263" w:type="pct"/>
                  <w:tcBorders>
                    <w:left w:val="single" w:color="000000" w:sz="4" w:space="0"/>
                    <w:right w:val="single" w:color="000000" w:sz="4" w:space="0"/>
                  </w:tcBorders>
                  <w:shd w:val="clear" w:color="auto" w:fill="auto"/>
                  <w:vAlign w:val="center"/>
                </w:tcPr>
                <w:p w14:paraId="04AF62AA">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6DFE8A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5C93DD3D">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57ABF057">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6B064F">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能源资源利用：2-1. 【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③新建锅炉、炉窑只允许使用天然气、液化石油气、电及其它可再生能源。燃用生物质成型燃料的锅炉、炉窑须配套专用燃烧设备。</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CF1765">
                  <w:pPr>
                    <w:pStyle w:val="10"/>
                    <w:spacing w:before="0" w:after="0" w:line="240" w:lineRule="auto"/>
                    <w:ind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eastAsia="zh-CN"/>
                    </w:rPr>
                    <w:t>设备均使用电能为能源</w:t>
                  </w:r>
                </w:p>
              </w:tc>
              <w:tc>
                <w:tcPr>
                  <w:tcW w:w="263" w:type="pct"/>
                  <w:tcBorders>
                    <w:left w:val="single" w:color="000000" w:sz="4" w:space="0"/>
                    <w:right w:val="single" w:color="000000" w:sz="4" w:space="0"/>
                  </w:tcBorders>
                  <w:shd w:val="clear" w:color="auto" w:fill="auto"/>
                  <w:vAlign w:val="center"/>
                </w:tcPr>
                <w:p w14:paraId="3AF10E82">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72E543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58B737F7">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5C27520D">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D677C">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污染物排放管控要求：3-1. 【水/鼓励引导类】全力推进五乡、大南联围流域东凤镇部分未达标水体综合整治工程，零星分布、距离污水管网较远的行政村，可结合实际情况建设分散式污水处理设施。</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611304">
                  <w:pPr>
                    <w:pStyle w:val="10"/>
                    <w:spacing w:before="0" w:after="0" w:line="240" w:lineRule="auto"/>
                    <w:ind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rPr>
                    <w:t>本项目生活污水位于</w:t>
                  </w:r>
                  <w:r>
                    <w:rPr>
                      <w:rFonts w:hint="eastAsia" w:ascii="Times New Roman" w:hAnsi="Times New Roman" w:cs="Times New Roman"/>
                      <w:color w:val="auto"/>
                      <w:sz w:val="21"/>
                      <w:szCs w:val="21"/>
                      <w:highlight w:val="none"/>
                      <w:lang w:val="en-US" w:eastAsia="zh-CN"/>
                    </w:rPr>
                    <w:t>东凤</w:t>
                  </w:r>
                  <w:r>
                    <w:rPr>
                      <w:rFonts w:hint="default" w:ascii="Times New Roman" w:hAnsi="Times New Roman" w:cs="Times New Roman"/>
                      <w:color w:val="auto"/>
                      <w:sz w:val="21"/>
                      <w:szCs w:val="21"/>
                      <w:highlight w:val="none"/>
                    </w:rPr>
                    <w:t>镇生活污水处理厂纳污范围内</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不涉及生产废水产生</w:t>
                  </w:r>
                </w:p>
              </w:tc>
              <w:tc>
                <w:tcPr>
                  <w:tcW w:w="263" w:type="pct"/>
                  <w:tcBorders>
                    <w:left w:val="single" w:color="000000" w:sz="4" w:space="0"/>
                    <w:right w:val="single" w:color="000000" w:sz="4" w:space="0"/>
                  </w:tcBorders>
                  <w:shd w:val="clear" w:color="auto" w:fill="auto"/>
                  <w:vAlign w:val="center"/>
                </w:tcPr>
                <w:p w14:paraId="0C88C1E0">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0F0B5D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16EF187C">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2C43634C">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0D575E">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3-2. 【水/限制类】涉新增化学需氧量、氨氮排放的项目，原则上实行等量</w:t>
                  </w:r>
                  <w:r>
                    <w:rPr>
                      <w:rFonts w:hint="eastAsia" w:ascii="Times New Roman" w:hAnsi="Times New Roman" w:eastAsia="宋体" w:cs="Times New Roman"/>
                      <w:color w:val="auto"/>
                      <w:kern w:val="0"/>
                      <w:szCs w:val="21"/>
                      <w:highlight w:val="none"/>
                      <w:lang w:val="en-US" w:eastAsia="zh-CN" w:bidi="ar"/>
                    </w:rPr>
                    <w:t>替</w:t>
                  </w:r>
                  <w:r>
                    <w:rPr>
                      <w:rFonts w:hint="default" w:ascii="Times New Roman" w:hAnsi="Times New Roman" w:eastAsia="宋体" w:cs="Times New Roman"/>
                      <w:color w:val="auto"/>
                      <w:kern w:val="0"/>
                      <w:szCs w:val="21"/>
                      <w:highlight w:val="none"/>
                      <w:lang w:val="en-US" w:eastAsia="zh-CN" w:bidi="ar"/>
                    </w:rPr>
                    <w:t>代，若上一年度水环境质量未达到要求，须实行两倍削减</w:t>
                  </w:r>
                  <w:r>
                    <w:rPr>
                      <w:rFonts w:hint="eastAsia" w:ascii="Times New Roman" w:hAnsi="Times New Roman" w:eastAsia="宋体" w:cs="Times New Roman"/>
                      <w:color w:val="auto"/>
                      <w:kern w:val="0"/>
                      <w:szCs w:val="21"/>
                      <w:highlight w:val="none"/>
                      <w:lang w:val="en-US" w:eastAsia="zh-CN" w:bidi="ar"/>
                    </w:rPr>
                    <w:t>替</w:t>
                  </w:r>
                  <w:r>
                    <w:rPr>
                      <w:rFonts w:hint="default" w:ascii="Times New Roman" w:hAnsi="Times New Roman" w:eastAsia="宋体" w:cs="Times New Roman"/>
                      <w:color w:val="auto"/>
                      <w:kern w:val="0"/>
                      <w:szCs w:val="21"/>
                      <w:highlight w:val="none"/>
                      <w:lang w:val="en-US" w:eastAsia="zh-CN" w:bidi="ar"/>
                    </w:rPr>
                    <w:t>代。</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ECF06">
                  <w:pPr>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kern w:val="0"/>
                      <w:szCs w:val="21"/>
                      <w:highlight w:val="none"/>
                    </w:rPr>
                    <w:t>本项目</w:t>
                  </w:r>
                  <w:r>
                    <w:rPr>
                      <w:rFonts w:hint="default" w:ascii="Times New Roman" w:hAnsi="Times New Roman" w:cs="Times New Roman"/>
                      <w:color w:val="auto"/>
                      <w:kern w:val="0"/>
                      <w:szCs w:val="21"/>
                      <w:highlight w:val="none"/>
                      <w:lang w:eastAsia="zh-CN"/>
                    </w:rPr>
                    <w:t>生活污水排入</w:t>
                  </w:r>
                  <w:r>
                    <w:rPr>
                      <w:rFonts w:hint="eastAsia" w:ascii="Times New Roman" w:hAnsi="Times New Roman" w:cs="Times New Roman"/>
                      <w:color w:val="auto"/>
                      <w:kern w:val="0"/>
                      <w:szCs w:val="21"/>
                      <w:highlight w:val="none"/>
                      <w:lang w:val="en-US" w:eastAsia="zh-CN"/>
                    </w:rPr>
                    <w:t>中山市东凤镇污水处理有限责任公司</w:t>
                  </w:r>
                  <w:r>
                    <w:rPr>
                      <w:rFonts w:hint="eastAsia" w:ascii="Times New Roman" w:hAnsi="Times New Roman" w:cs="Times New Roman"/>
                      <w:color w:val="auto"/>
                      <w:kern w:val="0"/>
                      <w:szCs w:val="21"/>
                      <w:highlight w:val="none"/>
                      <w:lang w:eastAsia="zh-CN"/>
                    </w:rPr>
                    <w:t>，</w:t>
                  </w:r>
                  <w:r>
                    <w:rPr>
                      <w:rFonts w:hint="eastAsia" w:ascii="Times New Roman" w:hAnsi="Times New Roman" w:cs="Times New Roman"/>
                      <w:color w:val="auto"/>
                      <w:kern w:val="0"/>
                      <w:szCs w:val="21"/>
                      <w:highlight w:val="none"/>
                      <w:lang w:val="en-US" w:eastAsia="zh-CN"/>
                    </w:rPr>
                    <w:t>不涉及</w:t>
                  </w:r>
                  <w:r>
                    <w:rPr>
                      <w:rFonts w:hint="eastAsia" w:ascii="Times New Roman" w:hAnsi="Times New Roman" w:cs="Times New Roman"/>
                      <w:color w:val="auto"/>
                      <w:sz w:val="21"/>
                      <w:szCs w:val="21"/>
                      <w:highlight w:val="none"/>
                      <w:lang w:eastAsia="zh-CN"/>
                    </w:rPr>
                    <w:t>生产废水</w:t>
                  </w:r>
                  <w:r>
                    <w:rPr>
                      <w:rFonts w:hint="eastAsia" w:ascii="Times New Roman" w:hAnsi="Times New Roman" w:cs="Times New Roman"/>
                      <w:color w:val="auto"/>
                      <w:sz w:val="21"/>
                      <w:szCs w:val="21"/>
                      <w:highlight w:val="none"/>
                      <w:lang w:val="en-US" w:eastAsia="zh-CN"/>
                    </w:rPr>
                    <w:t>产生</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kern w:val="0"/>
                      <w:szCs w:val="21"/>
                      <w:highlight w:val="none"/>
                    </w:rPr>
                    <w:t>不属于新增化学需氧量、氨氮排放的项目</w:t>
                  </w:r>
                </w:p>
              </w:tc>
              <w:tc>
                <w:tcPr>
                  <w:tcW w:w="263" w:type="pct"/>
                  <w:tcBorders>
                    <w:left w:val="single" w:color="000000" w:sz="4" w:space="0"/>
                    <w:right w:val="single" w:color="000000" w:sz="4" w:space="0"/>
                  </w:tcBorders>
                  <w:shd w:val="clear" w:color="auto" w:fill="auto"/>
                  <w:vAlign w:val="center"/>
                </w:tcPr>
                <w:p w14:paraId="56F7D458">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551A10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6FCC7251">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1994F327">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9DD25A">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3-3. 【水/综合类】推进养殖尾水资源化利用和达标排放</w:t>
                  </w:r>
                  <w:r>
                    <w:rPr>
                      <w:rFonts w:hint="eastAsia" w:ascii="Times New Roman" w:hAnsi="Times New Roman" w:eastAsia="宋体" w:cs="Times New Roman"/>
                      <w:color w:val="auto"/>
                      <w:kern w:val="0"/>
                      <w:szCs w:val="21"/>
                      <w:highlight w:val="none"/>
                      <w:lang w:val="en-US" w:eastAsia="zh-CN" w:bidi="ar"/>
                    </w:rPr>
                    <w:t>。</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3C215">
                  <w:pPr>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szCs w:val="21"/>
                      <w:highlight w:val="none"/>
                      <w:lang w:eastAsia="zh-CN"/>
                    </w:rPr>
                    <w:t>本项目</w:t>
                  </w:r>
                  <w:r>
                    <w:rPr>
                      <w:rFonts w:hint="eastAsia" w:ascii="Times New Roman" w:hAnsi="Times New Roman" w:cs="Times New Roman"/>
                      <w:color w:val="auto"/>
                      <w:szCs w:val="21"/>
                      <w:highlight w:val="none"/>
                      <w:lang w:val="en-US" w:eastAsia="zh-CN"/>
                    </w:rPr>
                    <w:t>行业类别为塑料零件及其他塑料制品制造</w:t>
                  </w:r>
                  <w:r>
                    <w:rPr>
                      <w:rFonts w:hint="eastAsia" w:ascii="Times New Roman" w:hAnsi="Times New Roman" w:eastAsia="宋体" w:cs="Times New Roman"/>
                      <w:bCs/>
                      <w:color w:val="auto"/>
                      <w:szCs w:val="21"/>
                      <w:highlight w:val="none"/>
                      <w:lang w:val="en-US" w:eastAsia="zh-CN"/>
                    </w:rPr>
                    <w:t>，</w:t>
                  </w:r>
                  <w:r>
                    <w:rPr>
                      <w:rFonts w:hint="eastAsia" w:ascii="Times New Roman" w:hAnsi="Times New Roman" w:cs="Times New Roman"/>
                      <w:color w:val="auto"/>
                      <w:szCs w:val="21"/>
                      <w:highlight w:val="none"/>
                      <w:lang w:val="en-US" w:eastAsia="zh-CN"/>
                    </w:rPr>
                    <w:t>不涉及</w:t>
                  </w:r>
                  <w:r>
                    <w:rPr>
                      <w:rFonts w:hint="default" w:ascii="Times New Roman" w:hAnsi="Times New Roman" w:eastAsia="宋体" w:cs="Times New Roman"/>
                      <w:color w:val="auto"/>
                      <w:kern w:val="0"/>
                      <w:szCs w:val="21"/>
                      <w:highlight w:val="none"/>
                      <w:lang w:val="en-US" w:eastAsia="zh-CN" w:bidi="ar"/>
                    </w:rPr>
                    <w:t>养殖尾水资源化利用</w:t>
                  </w:r>
                  <w:r>
                    <w:rPr>
                      <w:rFonts w:hint="eastAsia" w:ascii="Times New Roman" w:hAnsi="Times New Roman" w:eastAsia="宋体" w:cs="Times New Roman"/>
                      <w:color w:val="auto"/>
                      <w:kern w:val="0"/>
                      <w:szCs w:val="21"/>
                      <w:highlight w:val="none"/>
                      <w:lang w:val="en-US" w:eastAsia="zh-CN" w:bidi="ar"/>
                    </w:rPr>
                    <w:t>。</w:t>
                  </w:r>
                </w:p>
              </w:tc>
              <w:tc>
                <w:tcPr>
                  <w:tcW w:w="263" w:type="pct"/>
                  <w:tcBorders>
                    <w:left w:val="single" w:color="000000" w:sz="4" w:space="0"/>
                    <w:right w:val="single" w:color="000000" w:sz="4" w:space="0"/>
                  </w:tcBorders>
                  <w:shd w:val="clear" w:color="auto" w:fill="auto"/>
                  <w:vAlign w:val="center"/>
                </w:tcPr>
                <w:p w14:paraId="707A6662">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5B08C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1F4C08D2">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63BEF5D0">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AAA93E">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3-4. 【大气/限制类】①涉新增氮氧化物排放的项目实行等量</w:t>
                  </w:r>
                  <w:r>
                    <w:rPr>
                      <w:rFonts w:hint="eastAsia" w:ascii="Times New Roman" w:hAnsi="Times New Roman" w:eastAsia="宋体" w:cs="Times New Roman"/>
                      <w:color w:val="auto"/>
                      <w:kern w:val="0"/>
                      <w:szCs w:val="21"/>
                      <w:highlight w:val="none"/>
                      <w:lang w:val="en-US" w:eastAsia="zh-CN" w:bidi="ar"/>
                    </w:rPr>
                    <w:t>替</w:t>
                  </w:r>
                  <w:r>
                    <w:rPr>
                      <w:rFonts w:hint="default" w:ascii="Times New Roman" w:hAnsi="Times New Roman" w:eastAsia="宋体" w:cs="Times New Roman"/>
                      <w:color w:val="auto"/>
                      <w:kern w:val="0"/>
                      <w:szCs w:val="21"/>
                      <w:highlight w:val="none"/>
                      <w:lang w:val="en-US" w:eastAsia="zh-CN" w:bidi="ar"/>
                    </w:rPr>
                    <w:t>代，涉新增挥发性有机物排放的项目实行两倍削减</w:t>
                  </w:r>
                  <w:r>
                    <w:rPr>
                      <w:rFonts w:hint="eastAsia" w:ascii="Times New Roman" w:hAnsi="Times New Roman" w:eastAsia="宋体" w:cs="Times New Roman"/>
                      <w:color w:val="auto"/>
                      <w:kern w:val="0"/>
                      <w:szCs w:val="21"/>
                      <w:highlight w:val="none"/>
                      <w:lang w:val="en-US" w:eastAsia="zh-CN" w:bidi="ar"/>
                    </w:rPr>
                    <w:t>替</w:t>
                  </w:r>
                  <w:r>
                    <w:rPr>
                      <w:rFonts w:hint="default" w:ascii="Times New Roman" w:hAnsi="Times New Roman" w:eastAsia="宋体" w:cs="Times New Roman"/>
                      <w:color w:val="auto"/>
                      <w:kern w:val="0"/>
                      <w:szCs w:val="21"/>
                      <w:highlight w:val="none"/>
                      <w:lang w:val="en-US" w:eastAsia="zh-CN" w:bidi="ar"/>
                    </w:rPr>
                    <w:t>代。②VOCs年排放量30吨及以上的项目，应安装VOCs在线监测系统并按规定与生态环境部门联网。</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947B8">
                  <w:pPr>
                    <w:jc w:val="center"/>
                    <w:rPr>
                      <w:rFonts w:hint="default" w:ascii="Times New Roman" w:hAnsi="Times New Roman" w:eastAsia="宋体" w:cs="Times New Roman"/>
                      <w:color w:val="auto"/>
                      <w:kern w:val="2"/>
                      <w:sz w:val="21"/>
                      <w:szCs w:val="21"/>
                      <w:highlight w:val="none"/>
                      <w:lang w:val="en-US" w:eastAsia="zh-CN" w:bidi="ar"/>
                    </w:rPr>
                  </w:pPr>
                  <w:r>
                    <w:rPr>
                      <w:rFonts w:hint="eastAsia" w:ascii="Times New Roman" w:hAnsi="Times New Roman" w:eastAsia="宋体" w:cs="Times New Roman"/>
                      <w:color w:val="000000"/>
                      <w:sz w:val="21"/>
                      <w:szCs w:val="21"/>
                      <w:highlight w:val="none"/>
                      <w:lang w:val="en-US" w:eastAsia="zh-CN"/>
                    </w:rPr>
                    <w:t>项目</w:t>
                  </w:r>
                  <w:r>
                    <w:rPr>
                      <w:rFonts w:hint="eastAsia"/>
                      <w:color w:val="auto"/>
                      <w:szCs w:val="21"/>
                    </w:rPr>
                    <w:t>烘料、注塑</w:t>
                  </w:r>
                  <w:r>
                    <w:rPr>
                      <w:rFonts w:hint="eastAsia"/>
                      <w:color w:val="auto"/>
                      <w:szCs w:val="21"/>
                      <w:lang w:val="en-US" w:eastAsia="zh-CN"/>
                    </w:rPr>
                    <w:t>、点胶、烘干工序废气</w:t>
                  </w:r>
                  <w:r>
                    <w:rPr>
                      <w:rFonts w:hint="eastAsia" w:ascii="Times New Roman" w:hAnsi="Times New Roman" w:eastAsia="宋体" w:cs="Times New Roman"/>
                      <w:color w:val="000000"/>
                      <w:kern w:val="2"/>
                      <w:sz w:val="21"/>
                      <w:szCs w:val="21"/>
                      <w:highlight w:val="none"/>
                      <w:lang w:val="en-US" w:eastAsia="zh-CN" w:bidi="ar-SA"/>
                    </w:rPr>
                    <w:t>采用了活性炭吸附装置的治理技术</w:t>
                  </w:r>
                  <w:r>
                    <w:rPr>
                      <w:rFonts w:hint="eastAsia" w:ascii="Times New Roman" w:hAnsi="Times New Roman" w:eastAsia="宋体" w:cs="Times New Roman"/>
                      <w:color w:val="000000"/>
                      <w:sz w:val="21"/>
                      <w:szCs w:val="21"/>
                      <w:highlight w:val="none"/>
                      <w:lang w:val="en-US" w:eastAsia="zh-CN"/>
                    </w:rPr>
                    <w:t>；不属于VOCs年排放量30吨及以上的项目</w:t>
                  </w:r>
                </w:p>
              </w:tc>
              <w:tc>
                <w:tcPr>
                  <w:tcW w:w="263" w:type="pct"/>
                  <w:tcBorders>
                    <w:left w:val="single" w:color="000000" w:sz="4" w:space="0"/>
                    <w:right w:val="single" w:color="000000" w:sz="4" w:space="0"/>
                  </w:tcBorders>
                  <w:shd w:val="clear" w:color="auto" w:fill="auto"/>
                  <w:vAlign w:val="center"/>
                </w:tcPr>
                <w:p w14:paraId="3D13249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505065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2278AC6F">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2DD34DE1">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3E2099">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环境风险防控要求：4-1. 【水/综合类】单元内涉及省生态环境厅发布《突发环境事件应急预案备案行业名录（指导性意见）》所属行业类型的企业，应按要求编制突发环境事件应急预案，需设计、建设有效防止泄漏化学物质、消防废水、污染雨水等扩散至外环境的拦截、收集设施，相关设施须符合防渗、防漏要求。</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B44071">
                  <w:pPr>
                    <w:pStyle w:val="10"/>
                    <w:spacing w:before="0" w:after="0" w:line="240" w:lineRule="auto"/>
                    <w:ind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eastAsia="zh-CN"/>
                    </w:rPr>
                    <w:t>本项目</w:t>
                  </w:r>
                  <w:r>
                    <w:rPr>
                      <w:rFonts w:hint="default" w:ascii="Times New Roman" w:hAnsi="Times New Roman" w:cs="Times New Roman"/>
                      <w:color w:val="auto"/>
                      <w:sz w:val="21"/>
                      <w:szCs w:val="21"/>
                      <w:highlight w:val="none"/>
                      <w:lang w:val="en-US" w:eastAsia="zh-CN"/>
                    </w:rPr>
                    <w:t>行业类别为塑料零件及其他塑料制品制造，</w:t>
                  </w:r>
                  <w:r>
                    <w:rPr>
                      <w:rFonts w:hint="default" w:ascii="Times New Roman" w:hAnsi="Times New Roman" w:cs="Times New Roman"/>
                      <w:color w:val="auto"/>
                      <w:sz w:val="21"/>
                      <w:szCs w:val="21"/>
                      <w:highlight w:val="none"/>
                      <w:lang w:eastAsia="zh-CN"/>
                    </w:rPr>
                    <w:t>生产工艺为投料、混料、烘料、注塑、组装、机加工、点胶、烘干</w:t>
                  </w:r>
                  <w:r>
                    <w:rPr>
                      <w:rFonts w:hint="default" w:ascii="Times New Roman" w:hAnsi="Times New Roman" w:cs="Times New Roman"/>
                      <w:color w:val="auto"/>
                      <w:sz w:val="21"/>
                      <w:szCs w:val="21"/>
                      <w:highlight w:val="none"/>
                      <w:lang w:val="en-US" w:eastAsia="zh-CN"/>
                    </w:rPr>
                    <w:t>，根据</w:t>
                  </w:r>
                  <w:r>
                    <w:rPr>
                      <w:rFonts w:hint="default" w:ascii="Times New Roman" w:hAnsi="Times New Roman" w:eastAsia="宋体" w:cs="Times New Roman"/>
                      <w:color w:val="auto"/>
                      <w:kern w:val="2"/>
                      <w:sz w:val="21"/>
                      <w:szCs w:val="21"/>
                      <w:highlight w:val="none"/>
                      <w:lang w:val="en-US" w:eastAsia="zh-CN" w:bidi="ar-SA"/>
                    </w:rPr>
                    <w:t>广东省环境保护厅文件粤环〔2018〕44号关于发布《突发环境事件应急预案备案行业名录（指导性意见）》的通知</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本项目不属于指导性意见</w:t>
                  </w:r>
                  <w:r>
                    <w:rPr>
                      <w:rFonts w:hint="default" w:ascii="Times New Roman" w:hAnsi="Times New Roman" w:eastAsia="宋体" w:cs="Times New Roman"/>
                      <w:color w:val="auto"/>
                      <w:kern w:val="0"/>
                      <w:sz w:val="21"/>
                      <w:szCs w:val="21"/>
                      <w:highlight w:val="none"/>
                      <w:lang w:val="en-US" w:eastAsia="zh-CN" w:bidi="ar"/>
                    </w:rPr>
                    <w:t>应急预案备案行业名录内的行业，故无需编制应急预案。</w:t>
                  </w:r>
                </w:p>
              </w:tc>
              <w:tc>
                <w:tcPr>
                  <w:tcW w:w="263" w:type="pct"/>
                  <w:tcBorders>
                    <w:left w:val="single" w:color="000000" w:sz="4" w:space="0"/>
                    <w:right w:val="single" w:color="000000" w:sz="4" w:space="0"/>
                  </w:tcBorders>
                  <w:shd w:val="clear" w:color="auto" w:fill="auto"/>
                  <w:vAlign w:val="center"/>
                </w:tcPr>
                <w:p w14:paraId="7E29A2A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60A720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vMerge w:val="continue"/>
                  <w:tcBorders>
                    <w:left w:val="single" w:color="000000" w:sz="4" w:space="0"/>
                    <w:right w:val="single" w:color="000000" w:sz="4" w:space="0"/>
                  </w:tcBorders>
                  <w:shd w:val="clear" w:color="auto" w:fill="auto"/>
                  <w:vAlign w:val="center"/>
                </w:tcPr>
                <w:p w14:paraId="48E60262">
                  <w:pPr>
                    <w:adjustRightInd w:val="0"/>
                    <w:snapToGrid w:val="0"/>
                    <w:jc w:val="center"/>
                    <w:rPr>
                      <w:color w:val="auto"/>
                      <w:szCs w:val="21"/>
                      <w:highlight w:val="none"/>
                    </w:rPr>
                  </w:pPr>
                </w:p>
              </w:tc>
              <w:tc>
                <w:tcPr>
                  <w:tcW w:w="942" w:type="pct"/>
                  <w:vMerge w:val="continue"/>
                  <w:tcBorders>
                    <w:left w:val="single" w:color="000000" w:sz="4" w:space="0"/>
                    <w:right w:val="single" w:color="000000" w:sz="4" w:space="0"/>
                  </w:tcBorders>
                  <w:shd w:val="clear" w:color="auto" w:fill="auto"/>
                  <w:vAlign w:val="center"/>
                </w:tcPr>
                <w:p w14:paraId="784402BD">
                  <w:pPr>
                    <w:adjustRightInd w:val="0"/>
                    <w:snapToGrid w:val="0"/>
                    <w:jc w:val="center"/>
                    <w:rPr>
                      <w:color w:val="auto"/>
                      <w:szCs w:val="21"/>
                      <w:highlight w:val="none"/>
                    </w:rPr>
                  </w:pP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24531">
                  <w:pPr>
                    <w:widowControl/>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4-2. 【土壤/综合类】土壤环境污染重点监管工业企业要落实《工矿用地土壤环境管理办法（试行）》要求，在项目环评、设计建设、拆除设施、终止经营等环节落实好土壤和地下水污染防治工作。</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E255ED">
                  <w:pPr>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cs="Times New Roman"/>
                      <w:color w:val="auto"/>
                      <w:szCs w:val="21"/>
                      <w:highlight w:val="none"/>
                    </w:rPr>
                    <w:t>本项目不属于土壤环境污染重点监管工业企业</w:t>
                  </w:r>
                </w:p>
              </w:tc>
              <w:tc>
                <w:tcPr>
                  <w:tcW w:w="263" w:type="pct"/>
                  <w:tcBorders>
                    <w:left w:val="single" w:color="000000" w:sz="4" w:space="0"/>
                    <w:right w:val="single" w:color="000000" w:sz="4" w:space="0"/>
                  </w:tcBorders>
                  <w:shd w:val="clear" w:color="auto" w:fill="auto"/>
                  <w:vAlign w:val="center"/>
                </w:tcPr>
                <w:p w14:paraId="2FCD5249">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符合</w:t>
                  </w:r>
                </w:p>
              </w:tc>
            </w:tr>
            <w:tr w14:paraId="45AE5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8915E">
                  <w:pPr>
                    <w:adjustRightInd w:val="0"/>
                    <w:snapToGrid w:val="0"/>
                    <w:jc w:val="center"/>
                    <w:rPr>
                      <w:rFonts w:hint="default" w:eastAsia="宋体"/>
                      <w:color w:val="auto"/>
                      <w:szCs w:val="21"/>
                      <w:highlight w:val="none"/>
                      <w:lang w:val="en-US" w:eastAsia="zh-CN" w:bidi="en-AU"/>
                    </w:rPr>
                  </w:pPr>
                  <w:r>
                    <w:rPr>
                      <w:rFonts w:hint="eastAsia" w:eastAsia="宋体"/>
                      <w:color w:val="auto"/>
                      <w:szCs w:val="21"/>
                      <w:highlight w:val="none"/>
                      <w:lang w:val="en-US" w:eastAsia="zh-CN" w:bidi="en-AU"/>
                    </w:rPr>
                    <w:t>6</w:t>
                  </w:r>
                </w:p>
              </w:tc>
              <w:tc>
                <w:tcPr>
                  <w:tcW w:w="9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ED8CD">
                  <w:pPr>
                    <w:adjustRightInd w:val="0"/>
                    <w:snapToGrid w:val="0"/>
                    <w:jc w:val="center"/>
                    <w:rPr>
                      <w:color w:val="auto"/>
                      <w:szCs w:val="21"/>
                      <w:highlight w:val="none"/>
                    </w:rPr>
                  </w:pPr>
                  <w:r>
                    <w:rPr>
                      <w:color w:val="auto"/>
                      <w:szCs w:val="21"/>
                      <w:highlight w:val="none"/>
                    </w:rPr>
                    <w:t>选址合理性</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9B6239">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B4E0D">
                  <w:pPr>
                    <w:adjustRightInd w:val="0"/>
                    <w:snapToGrid w:val="0"/>
                    <w:jc w:val="center"/>
                    <w:rPr>
                      <w:color w:val="auto"/>
                      <w:szCs w:val="21"/>
                      <w:highlight w:val="none"/>
                    </w:rPr>
                  </w:pPr>
                  <w:r>
                    <w:rPr>
                      <w:color w:val="auto"/>
                      <w:szCs w:val="21"/>
                      <w:highlight w:val="none"/>
                    </w:rPr>
                    <w:t>根据中山市</w:t>
                  </w:r>
                  <w:r>
                    <w:rPr>
                      <w:rFonts w:hint="eastAsia"/>
                      <w:color w:val="auto"/>
                      <w:szCs w:val="21"/>
                      <w:highlight w:val="none"/>
                      <w:lang w:val="en-US" w:eastAsia="zh-CN"/>
                    </w:rPr>
                    <w:t>自然资源一图通</w:t>
                  </w:r>
                  <w:r>
                    <w:rPr>
                      <w:color w:val="auto"/>
                      <w:szCs w:val="21"/>
                      <w:highlight w:val="none"/>
                    </w:rPr>
                    <w:t>，本项目用于一类工业用地</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928D01">
                  <w:pPr>
                    <w:adjustRightInd w:val="0"/>
                    <w:snapToGrid w:val="0"/>
                    <w:jc w:val="center"/>
                    <w:rPr>
                      <w:color w:val="auto"/>
                      <w:szCs w:val="21"/>
                      <w:highlight w:val="none"/>
                    </w:rPr>
                  </w:pPr>
                  <w:r>
                    <w:rPr>
                      <w:color w:val="auto"/>
                      <w:szCs w:val="21"/>
                      <w:highlight w:val="none"/>
                    </w:rPr>
                    <w:t>符合</w:t>
                  </w:r>
                </w:p>
              </w:tc>
            </w:tr>
            <w:tr w14:paraId="0BBF6C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043F9">
                  <w:pPr>
                    <w:adjustRightInd w:val="0"/>
                    <w:snapToGrid w:val="0"/>
                    <w:jc w:val="center"/>
                    <w:rPr>
                      <w:rFonts w:hint="eastAsia" w:ascii="Times New Roman" w:hAnsi="Times New Roman" w:eastAsia="宋体" w:cs="Times New Roman"/>
                      <w:color w:val="auto"/>
                      <w:kern w:val="2"/>
                      <w:sz w:val="21"/>
                      <w:szCs w:val="21"/>
                      <w:highlight w:val="none"/>
                      <w:lang w:val="en-US" w:eastAsia="zh-CN"/>
                    </w:rPr>
                  </w:pPr>
                  <w:r>
                    <w:rPr>
                      <w:rFonts w:hint="eastAsia"/>
                      <w:color w:val="auto"/>
                      <w:szCs w:val="21"/>
                      <w:highlight w:val="none"/>
                      <w:lang w:val="en-US" w:eastAsia="zh-CN"/>
                    </w:rPr>
                    <w:t>7</w:t>
                  </w:r>
                </w:p>
              </w:tc>
              <w:tc>
                <w:tcPr>
                  <w:tcW w:w="94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32892">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《中山市环保共性产业园规划》2023年3月</w:t>
                  </w:r>
                </w:p>
              </w:tc>
              <w:tc>
                <w:tcPr>
                  <w:tcW w:w="2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7D231">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本规划实施后，按重点项目计划推进环保共性产业园、共性工厂建设，镇内其他区域原则上不再审批或备案环保共性产业园核心区、共性工厂涉及的共性工序的规模以下建设项目，规模以下建设项目是指产值小于2千万元/年的项目；对于符合镇街产业布局等相关规划、环保手续齐全、清洁生产达到国内或国际先进水平的规模以下技改、扩建、搬迁建设项目，经镇街政府同意后，方可向生态环境部门报批或备案项目建设；</w:t>
                  </w:r>
                </w:p>
                <w:p w14:paraId="08DEDECC">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（2）建设东凤镇小家电产业环保共性产业园。做优做强东凤镇</w:t>
                  </w:r>
                </w:p>
                <w:p w14:paraId="1ED17F2D">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小家电产业，扩大产业集群规模，规划建设东凤镇小家电产业环保</w:t>
                  </w:r>
                </w:p>
                <w:p w14:paraId="6DB07CA2">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共性产业园，聚集发展，提升小家电产业专业化、智能化水平。</w:t>
                  </w:r>
                </w:p>
              </w:tc>
              <w:tc>
                <w:tcPr>
                  <w:tcW w:w="14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FE05B">
                  <w:pPr>
                    <w:pStyle w:val="10"/>
                    <w:spacing w:before="0" w:after="0" w:line="240" w:lineRule="auto"/>
                    <w:ind w:right="0" w:right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项目所在地位于东凤镇，根据中山市环保共性产业园规划，东凤镇拟以建设东凤镇小家电产业环保共性产业园，共性产业为小家电产业（含喷涂工序），共性工序为打磨-振光-除油-清洗-脱水-烘干-真空镀膜-喷漆（喷粉）-烘干，</w:t>
                  </w:r>
                  <w:r>
                    <w:rPr>
                      <w:rFonts w:hint="default" w:ascii="Times New Roman" w:hAnsi="Times New Roman" w:cs="Times New Roman"/>
                      <w:color w:val="auto"/>
                      <w:sz w:val="21"/>
                      <w:szCs w:val="21"/>
                      <w:highlight w:val="none"/>
                      <w:lang w:eastAsia="zh-CN"/>
                    </w:rPr>
                    <w:t>本项目</w:t>
                  </w:r>
                  <w:r>
                    <w:rPr>
                      <w:rFonts w:hint="default" w:ascii="Times New Roman" w:hAnsi="Times New Roman" w:cs="Times New Roman"/>
                      <w:color w:val="auto"/>
                      <w:sz w:val="21"/>
                      <w:szCs w:val="21"/>
                      <w:highlight w:val="none"/>
                      <w:lang w:val="en-US" w:eastAsia="zh-CN"/>
                    </w:rPr>
                    <w:t>行业类别为塑料零件及其他塑料制品制造</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不属于共性产业及共性工序，无需进入共性园区。</w:t>
                  </w:r>
                </w:p>
              </w:tc>
              <w:tc>
                <w:tcPr>
                  <w:tcW w:w="26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97203">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符合</w:t>
                  </w:r>
                </w:p>
              </w:tc>
            </w:tr>
          </w:tbl>
          <w:p w14:paraId="1BE27CAE">
            <w:pPr>
              <w:autoSpaceDE w:val="0"/>
              <w:autoSpaceDN w:val="0"/>
              <w:adjustRightInd w:val="0"/>
              <w:snapToGrid w:val="0"/>
              <w:rPr>
                <w:color w:val="auto"/>
                <w:kern w:val="0"/>
                <w:szCs w:val="21"/>
                <w:highlight w:val="none"/>
              </w:rPr>
            </w:pPr>
          </w:p>
        </w:tc>
      </w:tr>
    </w:tbl>
    <w:p w14:paraId="0FDE9582">
      <w:pPr>
        <w:spacing w:line="360" w:lineRule="auto"/>
        <w:outlineLvl w:val="0"/>
        <w:rPr>
          <w:rFonts w:eastAsia="黑体"/>
          <w:color w:val="auto"/>
          <w:sz w:val="30"/>
          <w:highlight w:val="none"/>
        </w:rPr>
        <w:sectPr>
          <w:footerReference r:id="rId6" w:type="default"/>
          <w:pgSz w:w="11906" w:h="16838"/>
          <w:pgMar w:top="1701" w:right="1531" w:bottom="1701" w:left="1531" w:header="851" w:footer="1077" w:gutter="0"/>
          <w:pgNumType w:start="1"/>
          <w:cols w:space="720" w:num="1"/>
          <w:docGrid w:linePitch="312" w:charSpace="0"/>
        </w:sectPr>
      </w:pPr>
    </w:p>
    <w:p w14:paraId="380C791A">
      <w:pPr>
        <w:pStyle w:val="6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二、建设项目工程分析</w:t>
      </w:r>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060"/>
      </w:tblGrid>
      <w:tr w14:paraId="381800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37" w:hRule="atLeast"/>
          <w:jc w:val="center"/>
        </w:trPr>
        <w:tc>
          <w:tcPr>
            <w:tcW w:w="9060" w:type="dxa"/>
            <w:shd w:val="clear" w:color="auto" w:fill="auto"/>
            <w:vAlign w:val="center"/>
          </w:tcPr>
          <w:p w14:paraId="26B559B9">
            <w:pPr>
              <w:pStyle w:val="87"/>
              <w:ind w:firstLine="0" w:firstLineChars="0"/>
              <w:rPr>
                <w:rFonts w:eastAsia="宋体"/>
                <w:b/>
                <w:color w:val="auto"/>
                <w:highlight w:val="none"/>
              </w:rPr>
            </w:pPr>
            <w:r>
              <w:rPr>
                <w:rFonts w:eastAsia="宋体"/>
                <w:b/>
                <w:color w:val="auto"/>
                <w:highlight w:val="none"/>
              </w:rPr>
              <w:t>工程内容及规模：</w:t>
            </w:r>
          </w:p>
          <w:p w14:paraId="20F8D680">
            <w:pPr>
              <w:pStyle w:val="87"/>
              <w:ind w:firstLine="480"/>
              <w:rPr>
                <w:rFonts w:hint="eastAsia"/>
                <w:color w:val="auto"/>
                <w:sz w:val="24"/>
                <w:highlight w:val="none"/>
              </w:rPr>
            </w:pPr>
            <w:r>
              <w:rPr>
                <w:rFonts w:eastAsia="宋体"/>
                <w:b/>
                <w:color w:val="auto"/>
                <w:highlight w:val="none"/>
              </w:rPr>
              <w:t>一、环评类别判定说明</w:t>
            </w:r>
          </w:p>
          <w:p w14:paraId="1E9250FD">
            <w:pPr>
              <w:pStyle w:val="95"/>
              <w:spacing w:before="120"/>
              <w:rPr>
                <w:rFonts w:hint="eastAsia"/>
                <w:b/>
                <w:color w:val="auto"/>
                <w:kern w:val="2"/>
                <w:sz w:val="21"/>
                <w:highlight w:val="none"/>
              </w:rPr>
            </w:pPr>
            <w:r>
              <w:rPr>
                <w:rFonts w:hint="eastAsia"/>
                <w:b/>
                <w:color w:val="auto"/>
                <w:kern w:val="2"/>
                <w:sz w:val="21"/>
                <w:highlight w:val="none"/>
              </w:rPr>
              <w:t xml:space="preserve"> 环评类别说明</w:t>
            </w:r>
          </w:p>
          <w:tbl>
            <w:tblPr>
              <w:tblStyle w:val="35"/>
              <w:tblW w:w="88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57"/>
              <w:gridCol w:w="1463"/>
              <w:gridCol w:w="1075"/>
              <w:gridCol w:w="1153"/>
              <w:gridCol w:w="2762"/>
              <w:gridCol w:w="863"/>
              <w:gridCol w:w="861"/>
            </w:tblGrid>
            <w:tr w14:paraId="1F6EA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7" w:type="dxa"/>
                  <w:shd w:val="clear" w:color="auto" w:fill="auto"/>
                  <w:vAlign w:val="center"/>
                </w:tcPr>
                <w:p w14:paraId="5DF3A0B5">
                  <w:pPr>
                    <w:jc w:val="center"/>
                    <w:rPr>
                      <w:b/>
                      <w:bCs/>
                      <w:color w:val="auto"/>
                      <w:highlight w:val="none"/>
                    </w:rPr>
                  </w:pPr>
                  <w:r>
                    <w:rPr>
                      <w:rFonts w:hint="eastAsia"/>
                      <w:b/>
                      <w:bCs/>
                      <w:color w:val="auto"/>
                      <w:highlight w:val="none"/>
                    </w:rPr>
                    <w:t>序号</w:t>
                  </w:r>
                </w:p>
              </w:tc>
              <w:tc>
                <w:tcPr>
                  <w:tcW w:w="1463" w:type="dxa"/>
                  <w:shd w:val="clear" w:color="auto" w:fill="auto"/>
                  <w:vAlign w:val="center"/>
                </w:tcPr>
                <w:p w14:paraId="4BF08EF2">
                  <w:pPr>
                    <w:jc w:val="center"/>
                    <w:rPr>
                      <w:b/>
                      <w:bCs/>
                      <w:color w:val="auto"/>
                      <w:highlight w:val="none"/>
                    </w:rPr>
                  </w:pPr>
                  <w:r>
                    <w:rPr>
                      <w:rFonts w:hint="eastAsia"/>
                      <w:b/>
                      <w:bCs/>
                      <w:color w:val="auto"/>
                      <w:highlight w:val="none"/>
                    </w:rPr>
                    <w:t>行业类别</w:t>
                  </w:r>
                </w:p>
              </w:tc>
              <w:tc>
                <w:tcPr>
                  <w:tcW w:w="1075" w:type="dxa"/>
                  <w:shd w:val="clear" w:color="auto" w:fill="auto"/>
                  <w:vAlign w:val="center"/>
                </w:tcPr>
                <w:p w14:paraId="01E24A66">
                  <w:pPr>
                    <w:jc w:val="center"/>
                    <w:rPr>
                      <w:b/>
                      <w:bCs/>
                      <w:color w:val="auto"/>
                      <w:highlight w:val="none"/>
                    </w:rPr>
                  </w:pPr>
                  <w:r>
                    <w:rPr>
                      <w:rFonts w:hint="eastAsia"/>
                      <w:b/>
                      <w:bCs/>
                      <w:color w:val="auto"/>
                      <w:highlight w:val="none"/>
                    </w:rPr>
                    <w:t>产品产能</w:t>
                  </w:r>
                </w:p>
              </w:tc>
              <w:tc>
                <w:tcPr>
                  <w:tcW w:w="1153" w:type="dxa"/>
                  <w:shd w:val="clear" w:color="auto" w:fill="auto"/>
                  <w:vAlign w:val="center"/>
                </w:tcPr>
                <w:p w14:paraId="28F14A2A">
                  <w:pPr>
                    <w:jc w:val="center"/>
                    <w:rPr>
                      <w:b/>
                      <w:bCs/>
                      <w:color w:val="auto"/>
                      <w:highlight w:val="none"/>
                    </w:rPr>
                  </w:pPr>
                  <w:r>
                    <w:rPr>
                      <w:rFonts w:hint="eastAsia"/>
                      <w:b/>
                      <w:bCs/>
                      <w:color w:val="auto"/>
                      <w:highlight w:val="none"/>
                    </w:rPr>
                    <w:t>工艺</w:t>
                  </w:r>
                </w:p>
              </w:tc>
              <w:tc>
                <w:tcPr>
                  <w:tcW w:w="2762" w:type="dxa"/>
                  <w:shd w:val="clear" w:color="auto" w:fill="auto"/>
                  <w:vAlign w:val="center"/>
                </w:tcPr>
                <w:p w14:paraId="473FCCC2">
                  <w:pPr>
                    <w:jc w:val="center"/>
                    <w:rPr>
                      <w:b/>
                      <w:bCs/>
                      <w:color w:val="auto"/>
                      <w:highlight w:val="none"/>
                    </w:rPr>
                  </w:pPr>
                  <w:r>
                    <w:rPr>
                      <w:rFonts w:hint="eastAsia"/>
                      <w:b/>
                      <w:bCs/>
                      <w:color w:val="auto"/>
                      <w:highlight w:val="none"/>
                    </w:rPr>
                    <w:t>对应名录条款</w:t>
                  </w:r>
                </w:p>
              </w:tc>
              <w:tc>
                <w:tcPr>
                  <w:tcW w:w="863" w:type="dxa"/>
                  <w:shd w:val="clear" w:color="auto" w:fill="auto"/>
                  <w:vAlign w:val="center"/>
                </w:tcPr>
                <w:p w14:paraId="081CDB65">
                  <w:pPr>
                    <w:jc w:val="center"/>
                    <w:rPr>
                      <w:b/>
                      <w:bCs/>
                      <w:color w:val="auto"/>
                      <w:highlight w:val="none"/>
                    </w:rPr>
                  </w:pPr>
                  <w:r>
                    <w:rPr>
                      <w:rFonts w:hint="eastAsia"/>
                      <w:b/>
                      <w:bCs/>
                      <w:color w:val="auto"/>
                      <w:highlight w:val="none"/>
                    </w:rPr>
                    <w:t>敏感区</w:t>
                  </w:r>
                </w:p>
              </w:tc>
              <w:tc>
                <w:tcPr>
                  <w:tcW w:w="861" w:type="dxa"/>
                  <w:shd w:val="clear" w:color="auto" w:fill="auto"/>
                  <w:vAlign w:val="center"/>
                </w:tcPr>
                <w:p w14:paraId="455DD519">
                  <w:pPr>
                    <w:jc w:val="center"/>
                    <w:rPr>
                      <w:b/>
                      <w:bCs/>
                      <w:color w:val="auto"/>
                      <w:highlight w:val="none"/>
                    </w:rPr>
                  </w:pPr>
                  <w:r>
                    <w:rPr>
                      <w:rFonts w:hint="eastAsia"/>
                      <w:b/>
                      <w:bCs/>
                      <w:color w:val="auto"/>
                      <w:highlight w:val="none"/>
                    </w:rPr>
                    <w:t>类别</w:t>
                  </w:r>
                </w:p>
              </w:tc>
            </w:tr>
            <w:tr w14:paraId="23FB8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657" w:type="dxa"/>
                  <w:shd w:val="clear" w:color="auto" w:fill="auto"/>
                  <w:vAlign w:val="center"/>
                </w:tcPr>
                <w:p w14:paraId="576CCF29">
                  <w:pPr>
                    <w:jc w:val="center"/>
                    <w:rPr>
                      <w:rFonts w:hint="eastAsia" w:ascii="Times New Roman" w:hAnsi="Times New Roman" w:eastAsia="宋体" w:cs="Times New Roman"/>
                      <w:color w:val="auto"/>
                      <w:kern w:val="2"/>
                      <w:sz w:val="21"/>
                      <w:szCs w:val="21"/>
                      <w:lang w:val="en-US" w:eastAsia="zh-CN" w:bidi="ar-SA"/>
                    </w:rPr>
                  </w:pPr>
                  <w:r>
                    <w:rPr>
                      <w:color w:val="auto"/>
                      <w:szCs w:val="21"/>
                    </w:rPr>
                    <w:t>1</w:t>
                  </w:r>
                </w:p>
              </w:tc>
              <w:tc>
                <w:tcPr>
                  <w:tcW w:w="1463" w:type="dxa"/>
                  <w:shd w:val="clear" w:color="auto" w:fill="auto"/>
                  <w:vAlign w:val="center"/>
                </w:tcPr>
                <w:p w14:paraId="139269F2">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C2929塑料制品及其他塑料制品制造</w:t>
                  </w:r>
                </w:p>
              </w:tc>
              <w:tc>
                <w:tcPr>
                  <w:tcW w:w="1075" w:type="dxa"/>
                  <w:shd w:val="clear" w:color="auto" w:fill="auto"/>
                  <w:vAlign w:val="center"/>
                </w:tcPr>
                <w:p w14:paraId="59D5E4F0">
                  <w:pPr>
                    <w:jc w:val="center"/>
                    <w:rPr>
                      <w:rFonts w:hint="default" w:ascii="Times New Roman" w:hAnsi="Times New Roman" w:eastAsia="宋体" w:cs="Times New Roman"/>
                      <w:color w:val="auto"/>
                      <w:kern w:val="2"/>
                      <w:sz w:val="21"/>
                      <w:szCs w:val="21"/>
                      <w:lang w:val="en-US" w:eastAsia="zh-CN" w:bidi="ar-SA"/>
                    </w:rPr>
                  </w:pPr>
                  <w:r>
                    <w:rPr>
                      <w:bCs/>
                      <w:color w:val="auto"/>
                      <w:szCs w:val="21"/>
                    </w:rPr>
                    <w:t>年产</w:t>
                  </w:r>
                  <w:r>
                    <w:rPr>
                      <w:rFonts w:hint="eastAsia"/>
                      <w:bCs/>
                      <w:color w:val="auto"/>
                      <w:szCs w:val="21"/>
                      <w:lang w:eastAsia="zh-CN"/>
                    </w:rPr>
                    <w:t>塑料配件</w:t>
                  </w:r>
                  <w:r>
                    <w:rPr>
                      <w:rFonts w:hint="eastAsia"/>
                      <w:bCs/>
                      <w:color w:val="auto"/>
                      <w:szCs w:val="21"/>
                      <w:lang w:val="en-US" w:eastAsia="zh-CN"/>
                    </w:rPr>
                    <w:t>100万套</w:t>
                  </w:r>
                </w:p>
              </w:tc>
              <w:tc>
                <w:tcPr>
                  <w:tcW w:w="1153" w:type="dxa"/>
                  <w:shd w:val="clear" w:color="auto" w:fill="auto"/>
                  <w:vAlign w:val="center"/>
                </w:tcPr>
                <w:p w14:paraId="2371F028">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lang w:eastAsia="zh-CN"/>
                    </w:rPr>
                    <w:t>投料、混料、烘料、注塑、组装、机加工、点胶、烘干</w:t>
                  </w:r>
                </w:p>
              </w:tc>
              <w:tc>
                <w:tcPr>
                  <w:tcW w:w="2762" w:type="dxa"/>
                  <w:shd w:val="clear" w:color="auto" w:fill="auto"/>
                  <w:vAlign w:val="center"/>
                </w:tcPr>
                <w:p w14:paraId="7E5AE87F">
                  <w:pPr>
                    <w:autoSpaceDE w:val="0"/>
                    <w:autoSpaceDN w:val="0"/>
                    <w:adjustRightInd w:val="0"/>
                    <w:jc w:val="center"/>
                    <w:rPr>
                      <w:rFonts w:hint="default" w:ascii="Times New Roman" w:hAnsi="Times New Roman" w:eastAsia="宋体" w:cs="Times New Roman"/>
                      <w:color w:val="auto"/>
                      <w:kern w:val="2"/>
                      <w:sz w:val="21"/>
                      <w:szCs w:val="21"/>
                      <w:lang w:val="en-US" w:eastAsia="zh-CN" w:bidi="ar-SA"/>
                    </w:rPr>
                  </w:pPr>
                  <w:r>
                    <w:rPr>
                      <w:rFonts w:hint="eastAsia"/>
                      <w:bCs/>
                      <w:color w:val="auto"/>
                      <w:szCs w:val="21"/>
                    </w:rPr>
                    <w:t>二十六、橡胶和塑料制品业29-53“塑料制品业292”中“其他（年用非溶剂型低VOCs含量涂料10吨以下的除外）”</w:t>
                  </w:r>
                </w:p>
              </w:tc>
              <w:tc>
                <w:tcPr>
                  <w:tcW w:w="863" w:type="dxa"/>
                  <w:shd w:val="clear" w:color="auto" w:fill="auto"/>
                  <w:vAlign w:val="center"/>
                </w:tcPr>
                <w:p w14:paraId="4B6C6A81">
                  <w:pPr>
                    <w:jc w:val="center"/>
                    <w:rPr>
                      <w:rFonts w:hint="eastAsia" w:ascii="Times New Roman" w:hAnsi="Times New Roman" w:eastAsia="宋体" w:cs="Times New Roman"/>
                      <w:color w:val="auto"/>
                      <w:kern w:val="2"/>
                      <w:sz w:val="21"/>
                      <w:szCs w:val="21"/>
                      <w:lang w:val="en-US" w:eastAsia="zh-CN" w:bidi="ar-SA"/>
                    </w:rPr>
                  </w:pPr>
                  <w:r>
                    <w:rPr>
                      <w:color w:val="auto"/>
                      <w:szCs w:val="21"/>
                    </w:rPr>
                    <w:t>无</w:t>
                  </w:r>
                </w:p>
              </w:tc>
              <w:tc>
                <w:tcPr>
                  <w:tcW w:w="861" w:type="dxa"/>
                  <w:shd w:val="clear" w:color="auto" w:fill="auto"/>
                  <w:vAlign w:val="center"/>
                </w:tcPr>
                <w:p w14:paraId="037B6DBB">
                  <w:pPr>
                    <w:jc w:val="center"/>
                    <w:rPr>
                      <w:rFonts w:hint="eastAsia" w:ascii="Times New Roman" w:hAnsi="Times New Roman" w:eastAsia="宋体" w:cs="Times New Roman"/>
                      <w:color w:val="auto"/>
                      <w:kern w:val="2"/>
                      <w:sz w:val="21"/>
                      <w:szCs w:val="21"/>
                      <w:lang w:val="en-US" w:eastAsia="zh-CN" w:bidi="ar-SA"/>
                    </w:rPr>
                  </w:pPr>
                  <w:r>
                    <w:rPr>
                      <w:color w:val="auto"/>
                      <w:szCs w:val="21"/>
                    </w:rPr>
                    <w:t>报告表</w:t>
                  </w:r>
                </w:p>
              </w:tc>
            </w:tr>
          </w:tbl>
          <w:p w14:paraId="10F0A8EA">
            <w:pPr>
              <w:pStyle w:val="93"/>
              <w:ind w:firstLine="480"/>
              <w:rPr>
                <w:b/>
                <w:color w:val="auto"/>
                <w:highlight w:val="none"/>
              </w:rPr>
            </w:pPr>
            <w:r>
              <w:rPr>
                <w:b/>
                <w:color w:val="auto"/>
                <w:highlight w:val="none"/>
              </w:rPr>
              <w:t>二、编制依据</w:t>
            </w:r>
          </w:p>
          <w:p w14:paraId="2DE9661C">
            <w:pPr>
              <w:spacing w:line="360" w:lineRule="auto"/>
              <w:ind w:firstLine="480" w:firstLineChars="200"/>
              <w:rPr>
                <w:color w:val="auto"/>
                <w:sz w:val="24"/>
                <w:highlight w:val="none"/>
              </w:rPr>
            </w:pPr>
            <w:r>
              <w:rPr>
                <w:color w:val="auto"/>
                <w:sz w:val="24"/>
                <w:highlight w:val="none"/>
              </w:rPr>
              <w:t>（1）《中华人民共和国环境保护法》（2015年1月1日起施行）；</w:t>
            </w:r>
          </w:p>
          <w:p w14:paraId="1F15D094">
            <w:pPr>
              <w:spacing w:line="360" w:lineRule="auto"/>
              <w:ind w:firstLine="480" w:firstLineChars="200"/>
              <w:rPr>
                <w:color w:val="auto"/>
                <w:sz w:val="24"/>
                <w:highlight w:val="none"/>
              </w:rPr>
            </w:pPr>
            <w:r>
              <w:rPr>
                <w:color w:val="auto"/>
                <w:sz w:val="24"/>
                <w:highlight w:val="none"/>
              </w:rPr>
              <w:t>（2）《中华人民共和国环境影响评价法》（2018年修正）；</w:t>
            </w:r>
          </w:p>
          <w:p w14:paraId="782D924D">
            <w:pPr>
              <w:spacing w:line="360" w:lineRule="auto"/>
              <w:ind w:firstLine="480" w:firstLineChars="200"/>
              <w:rPr>
                <w:color w:val="auto"/>
                <w:sz w:val="24"/>
                <w:highlight w:val="none"/>
              </w:rPr>
            </w:pPr>
            <w:r>
              <w:rPr>
                <w:color w:val="auto"/>
                <w:sz w:val="24"/>
                <w:highlight w:val="none"/>
              </w:rPr>
              <w:t>（3）《中华人民共和国水污染防治法》（2018年1月1日起施行）；</w:t>
            </w:r>
          </w:p>
          <w:p w14:paraId="051CAB6D">
            <w:pPr>
              <w:spacing w:line="360" w:lineRule="auto"/>
              <w:ind w:firstLine="480" w:firstLineChars="200"/>
              <w:rPr>
                <w:rFonts w:hint="eastAsia" w:eastAsia="宋体"/>
                <w:color w:val="auto"/>
                <w:sz w:val="24"/>
                <w:highlight w:val="none"/>
                <w:lang w:val="en-US" w:eastAsia="zh-CN"/>
              </w:rPr>
            </w:pPr>
            <w:r>
              <w:rPr>
                <w:color w:val="auto"/>
                <w:sz w:val="24"/>
                <w:highlight w:val="none"/>
              </w:rPr>
              <w:t>（4）《中华人民共和国大气污染防治法》（20</w:t>
            </w:r>
            <w:r>
              <w:rPr>
                <w:rFonts w:hint="eastAsia"/>
                <w:color w:val="auto"/>
                <w:sz w:val="24"/>
                <w:highlight w:val="none"/>
              </w:rPr>
              <w:t>18</w:t>
            </w:r>
            <w:r>
              <w:rPr>
                <w:color w:val="auto"/>
                <w:sz w:val="24"/>
                <w:highlight w:val="none"/>
              </w:rPr>
              <w:t>年1</w:t>
            </w:r>
            <w:r>
              <w:rPr>
                <w:rFonts w:hint="eastAsia"/>
                <w:color w:val="auto"/>
                <w:sz w:val="24"/>
                <w:highlight w:val="none"/>
              </w:rPr>
              <w:t>0</w:t>
            </w:r>
            <w:r>
              <w:rPr>
                <w:color w:val="auto"/>
                <w:sz w:val="24"/>
                <w:highlight w:val="none"/>
              </w:rPr>
              <w:t>月</w:t>
            </w:r>
            <w:r>
              <w:rPr>
                <w:rFonts w:hint="eastAsia"/>
                <w:color w:val="auto"/>
                <w:sz w:val="24"/>
                <w:highlight w:val="none"/>
              </w:rPr>
              <w:t>26</w:t>
            </w:r>
            <w:r>
              <w:rPr>
                <w:color w:val="auto"/>
                <w:sz w:val="24"/>
                <w:highlight w:val="none"/>
              </w:rPr>
              <w:t>日</w:t>
            </w:r>
            <w:r>
              <w:rPr>
                <w:rFonts w:hint="eastAsia"/>
                <w:color w:val="auto"/>
                <w:sz w:val="24"/>
                <w:highlight w:val="none"/>
              </w:rPr>
              <w:t>修订</w:t>
            </w:r>
            <w:r>
              <w:rPr>
                <w:color w:val="auto"/>
                <w:sz w:val="24"/>
                <w:highlight w:val="none"/>
              </w:rPr>
              <w:t>）；</w:t>
            </w:r>
            <w:r>
              <w:rPr>
                <w:rFonts w:hint="eastAsia"/>
                <w:color w:val="auto"/>
                <w:sz w:val="24"/>
                <w:highlight w:val="none"/>
                <w:lang w:val="en-US" w:eastAsia="zh-CN"/>
              </w:rPr>
              <w:t xml:space="preserve"> </w:t>
            </w:r>
          </w:p>
          <w:p w14:paraId="2261B517">
            <w:pPr>
              <w:spacing w:line="360" w:lineRule="auto"/>
              <w:ind w:firstLine="480" w:firstLineChars="200"/>
              <w:rPr>
                <w:color w:val="auto"/>
                <w:sz w:val="24"/>
                <w:highlight w:val="none"/>
              </w:rPr>
            </w:pPr>
            <w:r>
              <w:rPr>
                <w:color w:val="auto"/>
                <w:sz w:val="24"/>
                <w:highlight w:val="none"/>
              </w:rPr>
              <w:t>（5）《</w:t>
            </w:r>
            <w:r>
              <w:rPr>
                <w:color w:val="auto"/>
              </w:rPr>
              <w:fldChar w:fldCharType="begin"/>
            </w:r>
            <w:r>
              <w:rPr>
                <w:color w:val="auto"/>
              </w:rPr>
              <w:instrText xml:space="preserve"> HYPERLINK "https://baike.baidu.com/item/%E4%B8%AD%E5%8D%8E%E4%BA%BA%E6%B0%91%E5%85%B1%E5%92%8C%E5%9B%BD%E5%99%AA%E5%A3%B0%E6%B1%A1%E6%9F%93%E9%98%B2%E6%B2%BB%E6%B3%95/59690397" </w:instrText>
            </w:r>
            <w:r>
              <w:rPr>
                <w:color w:val="auto"/>
              </w:rPr>
              <w:fldChar w:fldCharType="separate"/>
            </w:r>
            <w:r>
              <w:rPr>
                <w:rFonts w:hint="default"/>
                <w:color w:val="auto"/>
                <w:sz w:val="24"/>
                <w:highlight w:val="none"/>
              </w:rPr>
              <w:t>中华人民共和国噪声污染防治法</w:t>
            </w:r>
            <w:r>
              <w:rPr>
                <w:rFonts w:hint="default"/>
                <w:color w:val="auto"/>
                <w:sz w:val="24"/>
                <w:highlight w:val="none"/>
              </w:rPr>
              <w:fldChar w:fldCharType="end"/>
            </w:r>
            <w:r>
              <w:rPr>
                <w:rFonts w:hint="default"/>
                <w:color w:val="auto"/>
                <w:sz w:val="24"/>
                <w:highlight w:val="none"/>
              </w:rPr>
              <w:t>》</w:t>
            </w:r>
            <w:r>
              <w:rPr>
                <w:color w:val="auto"/>
                <w:sz w:val="24"/>
                <w:highlight w:val="none"/>
              </w:rPr>
              <w:t>（2022年6月5日起施行）；</w:t>
            </w:r>
          </w:p>
          <w:p w14:paraId="47D6E5AE">
            <w:pPr>
              <w:spacing w:line="360" w:lineRule="auto"/>
              <w:ind w:firstLine="480" w:firstLineChars="200"/>
              <w:rPr>
                <w:color w:val="auto"/>
                <w:sz w:val="24"/>
                <w:highlight w:val="none"/>
              </w:rPr>
            </w:pPr>
            <w:r>
              <w:rPr>
                <w:color w:val="auto"/>
                <w:sz w:val="24"/>
                <w:highlight w:val="none"/>
              </w:rPr>
              <w:t>（6）《建设项目环境保护管理条例》（2017年7月16日修订）；</w:t>
            </w:r>
          </w:p>
          <w:p w14:paraId="4B57933D">
            <w:pPr>
              <w:spacing w:line="360" w:lineRule="auto"/>
              <w:ind w:firstLine="480" w:firstLineChars="200"/>
              <w:rPr>
                <w:color w:val="auto"/>
                <w:sz w:val="24"/>
                <w:highlight w:val="none"/>
              </w:rPr>
            </w:pPr>
            <w:r>
              <w:rPr>
                <w:color w:val="auto"/>
                <w:sz w:val="24"/>
                <w:highlight w:val="none"/>
              </w:rPr>
              <w:t>（7）《建设项目环境影响评价分类管理名录》（</w:t>
            </w:r>
            <w:r>
              <w:rPr>
                <w:rFonts w:hint="eastAsia"/>
                <w:color w:val="auto"/>
                <w:sz w:val="24"/>
                <w:highlight w:val="none"/>
              </w:rPr>
              <w:t>2021版</w:t>
            </w:r>
            <w:r>
              <w:rPr>
                <w:color w:val="auto"/>
                <w:sz w:val="24"/>
                <w:highlight w:val="none"/>
              </w:rPr>
              <w:t>）；</w:t>
            </w:r>
          </w:p>
          <w:p w14:paraId="4AC42481">
            <w:pPr>
              <w:spacing w:line="360" w:lineRule="auto"/>
              <w:ind w:firstLine="480" w:firstLineChars="200"/>
              <w:rPr>
                <w:color w:val="auto"/>
                <w:sz w:val="24"/>
                <w:highlight w:val="none"/>
              </w:rPr>
            </w:pPr>
            <w:r>
              <w:rPr>
                <w:color w:val="auto"/>
                <w:sz w:val="24"/>
                <w:highlight w:val="none"/>
              </w:rPr>
              <w:t>（</w:t>
            </w:r>
            <w:r>
              <w:rPr>
                <w:rFonts w:hint="eastAsia"/>
                <w:color w:val="auto"/>
                <w:sz w:val="24"/>
                <w:highlight w:val="none"/>
              </w:rPr>
              <w:t>8</w:t>
            </w:r>
            <w:r>
              <w:rPr>
                <w:color w:val="auto"/>
                <w:sz w:val="24"/>
                <w:highlight w:val="none"/>
              </w:rPr>
              <w:t>）《产业结构调整指导目录（2019年本）》</w:t>
            </w:r>
            <w:r>
              <w:rPr>
                <w:rFonts w:hint="eastAsia"/>
                <w:color w:val="auto"/>
                <w:sz w:val="24"/>
                <w:highlight w:val="none"/>
              </w:rPr>
              <w:t>（2021年</w:t>
            </w:r>
            <w:r>
              <w:rPr>
                <w:color w:val="auto"/>
                <w:sz w:val="24"/>
                <w:highlight w:val="none"/>
              </w:rPr>
              <w:t>修改</w:t>
            </w:r>
            <w:r>
              <w:rPr>
                <w:rFonts w:hint="eastAsia"/>
                <w:color w:val="auto"/>
                <w:sz w:val="24"/>
                <w:highlight w:val="none"/>
              </w:rPr>
              <w:t>）</w:t>
            </w:r>
            <w:r>
              <w:rPr>
                <w:color w:val="auto"/>
                <w:sz w:val="24"/>
                <w:highlight w:val="none"/>
              </w:rPr>
              <w:t>；</w:t>
            </w:r>
          </w:p>
          <w:p w14:paraId="625068DC">
            <w:pPr>
              <w:spacing w:line="360" w:lineRule="auto"/>
              <w:ind w:firstLine="480" w:firstLineChars="200"/>
              <w:rPr>
                <w:color w:val="auto"/>
                <w:sz w:val="24"/>
                <w:highlight w:val="none"/>
              </w:rPr>
            </w:pPr>
            <w:r>
              <w:rPr>
                <w:color w:val="auto"/>
                <w:sz w:val="24"/>
                <w:highlight w:val="none"/>
              </w:rPr>
              <w:t>（</w:t>
            </w:r>
            <w:r>
              <w:rPr>
                <w:rFonts w:hint="eastAsia"/>
                <w:color w:val="auto"/>
                <w:sz w:val="24"/>
                <w:highlight w:val="none"/>
              </w:rPr>
              <w:t>9</w:t>
            </w:r>
            <w:r>
              <w:rPr>
                <w:color w:val="auto"/>
                <w:sz w:val="24"/>
                <w:highlight w:val="none"/>
              </w:rPr>
              <w:t>）国家发展改革委</w:t>
            </w:r>
            <w:r>
              <w:rPr>
                <w:rFonts w:hint="eastAsia"/>
                <w:color w:val="auto"/>
                <w:sz w:val="24"/>
                <w:highlight w:val="none"/>
                <w:lang w:eastAsia="zh-CN"/>
              </w:rPr>
              <w:t>、</w:t>
            </w:r>
            <w:r>
              <w:rPr>
                <w:color w:val="auto"/>
                <w:sz w:val="24"/>
                <w:highlight w:val="none"/>
              </w:rPr>
              <w:t>商务部关于印发《市场准入负面清单（20</w:t>
            </w:r>
            <w:r>
              <w:rPr>
                <w:rFonts w:hint="eastAsia"/>
                <w:color w:val="auto"/>
                <w:sz w:val="24"/>
                <w:highlight w:val="none"/>
              </w:rPr>
              <w:t>2</w:t>
            </w:r>
            <w:r>
              <w:rPr>
                <w:rFonts w:hint="eastAsia"/>
                <w:color w:val="auto"/>
                <w:sz w:val="24"/>
                <w:highlight w:val="none"/>
                <w:lang w:val="en-US" w:eastAsia="zh-CN"/>
              </w:rPr>
              <w:t>2</w:t>
            </w:r>
            <w:r>
              <w:rPr>
                <w:color w:val="auto"/>
                <w:sz w:val="24"/>
                <w:highlight w:val="none"/>
              </w:rPr>
              <w:t>年版）》的通知（</w:t>
            </w:r>
            <w:r>
              <w:rPr>
                <w:rFonts w:hint="eastAsia"/>
                <w:color w:val="auto"/>
                <w:sz w:val="24"/>
                <w:highlight w:val="none"/>
              </w:rPr>
              <w:t>发改体改规〔20</w:t>
            </w:r>
            <w:r>
              <w:rPr>
                <w:rFonts w:hint="eastAsia"/>
                <w:color w:val="auto"/>
                <w:sz w:val="24"/>
                <w:highlight w:val="none"/>
                <w:lang w:val="en-US" w:eastAsia="zh-CN"/>
              </w:rPr>
              <w:t>22</w:t>
            </w:r>
            <w:r>
              <w:rPr>
                <w:rFonts w:hint="eastAsia"/>
                <w:color w:val="auto"/>
                <w:sz w:val="24"/>
                <w:highlight w:val="none"/>
              </w:rPr>
              <w:t>〕</w:t>
            </w:r>
            <w:r>
              <w:rPr>
                <w:rFonts w:hint="eastAsia"/>
                <w:color w:val="auto"/>
                <w:sz w:val="24"/>
                <w:highlight w:val="none"/>
                <w:lang w:val="en-US" w:eastAsia="zh-CN"/>
              </w:rPr>
              <w:t>397</w:t>
            </w:r>
            <w:r>
              <w:rPr>
                <w:rFonts w:hint="eastAsia"/>
                <w:color w:val="auto"/>
                <w:sz w:val="24"/>
                <w:highlight w:val="none"/>
              </w:rPr>
              <w:t>号</w:t>
            </w:r>
            <w:r>
              <w:rPr>
                <w:color w:val="auto"/>
                <w:sz w:val="24"/>
                <w:highlight w:val="none"/>
              </w:rPr>
              <w:t>）；</w:t>
            </w:r>
          </w:p>
          <w:p w14:paraId="4E64C7CE">
            <w:pPr>
              <w:spacing w:line="360" w:lineRule="auto"/>
              <w:ind w:firstLine="480" w:firstLineChars="200"/>
              <w:rPr>
                <w:color w:val="auto"/>
                <w:sz w:val="24"/>
                <w:highlight w:val="none"/>
              </w:rPr>
            </w:pPr>
            <w:r>
              <w:rPr>
                <w:color w:val="auto"/>
                <w:sz w:val="24"/>
                <w:highlight w:val="none"/>
              </w:rPr>
              <w:t>（1</w:t>
            </w:r>
            <w:r>
              <w:rPr>
                <w:rFonts w:hint="eastAsia"/>
                <w:color w:val="auto"/>
                <w:sz w:val="24"/>
                <w:highlight w:val="none"/>
              </w:rPr>
              <w:t>0</w:t>
            </w:r>
            <w:r>
              <w:rPr>
                <w:color w:val="auto"/>
                <w:sz w:val="24"/>
                <w:highlight w:val="none"/>
              </w:rPr>
              <w:t>）中山市</w:t>
            </w:r>
            <w:r>
              <w:rPr>
                <w:rFonts w:hint="eastAsia"/>
                <w:color w:val="auto"/>
                <w:sz w:val="24"/>
                <w:highlight w:val="none"/>
              </w:rPr>
              <w:t>生态环境局</w:t>
            </w:r>
            <w:r>
              <w:rPr>
                <w:color w:val="auto"/>
                <w:sz w:val="24"/>
                <w:highlight w:val="none"/>
              </w:rPr>
              <w:t>关于印发</w:t>
            </w:r>
            <w:r>
              <w:rPr>
                <w:rFonts w:hint="eastAsia"/>
                <w:color w:val="auto"/>
                <w:sz w:val="24"/>
                <w:highlight w:val="none"/>
              </w:rPr>
              <w:t>《</w:t>
            </w:r>
            <w:r>
              <w:rPr>
                <w:color w:val="auto"/>
                <w:sz w:val="24"/>
                <w:highlight w:val="none"/>
              </w:rPr>
              <w:t>中山市涉挥发性有机物项目环保管理规定的通知》（中环规字〔20</w:t>
            </w:r>
            <w:r>
              <w:rPr>
                <w:rFonts w:hint="eastAsia"/>
                <w:color w:val="auto"/>
                <w:sz w:val="24"/>
                <w:highlight w:val="none"/>
              </w:rPr>
              <w:t>21</w:t>
            </w:r>
            <w:r>
              <w:rPr>
                <w:color w:val="auto"/>
                <w:sz w:val="24"/>
                <w:highlight w:val="none"/>
              </w:rPr>
              <w:t>〕</w:t>
            </w:r>
            <w:r>
              <w:rPr>
                <w:rFonts w:hint="eastAsia"/>
                <w:color w:val="auto"/>
                <w:sz w:val="24"/>
                <w:highlight w:val="none"/>
              </w:rPr>
              <w:t>1</w:t>
            </w:r>
            <w:r>
              <w:rPr>
                <w:color w:val="auto"/>
                <w:sz w:val="24"/>
                <w:highlight w:val="none"/>
              </w:rPr>
              <w:t>号）；</w:t>
            </w:r>
          </w:p>
          <w:p w14:paraId="2F46963F">
            <w:pPr>
              <w:pStyle w:val="93"/>
              <w:ind w:firstLine="480"/>
              <w:rPr>
                <w:rFonts w:hint="eastAsia"/>
                <w:color w:val="auto"/>
                <w:sz w:val="24"/>
                <w:highlight w:val="none"/>
              </w:rPr>
            </w:pPr>
            <w:r>
              <w:rPr>
                <w:color w:val="auto"/>
                <w:sz w:val="24"/>
                <w:highlight w:val="none"/>
              </w:rPr>
              <w:t>（1</w:t>
            </w:r>
            <w:r>
              <w:rPr>
                <w:rFonts w:hint="eastAsia"/>
                <w:color w:val="auto"/>
                <w:sz w:val="24"/>
                <w:highlight w:val="none"/>
              </w:rPr>
              <w:t>1</w:t>
            </w:r>
            <w:r>
              <w:rPr>
                <w:color w:val="auto"/>
                <w:sz w:val="24"/>
                <w:highlight w:val="none"/>
              </w:rPr>
              <w:t>）</w:t>
            </w:r>
            <w:r>
              <w:rPr>
                <w:rFonts w:hint="default"/>
                <w:color w:val="auto"/>
                <w:sz w:val="24"/>
                <w:highlight w:val="none"/>
              </w:rPr>
              <w:t>建设项目环境影响报告表编制技术指南（污染影响类）（试行）</w:t>
            </w:r>
            <w:r>
              <w:rPr>
                <w:rFonts w:hint="eastAsia"/>
                <w:color w:val="auto"/>
                <w:sz w:val="24"/>
                <w:highlight w:val="none"/>
              </w:rPr>
              <w:t>；</w:t>
            </w:r>
          </w:p>
          <w:p w14:paraId="5335623C">
            <w:pPr>
              <w:pStyle w:val="93"/>
              <w:ind w:firstLine="480"/>
              <w:rPr>
                <w:rFonts w:hint="eastAsia"/>
                <w:color w:val="auto"/>
                <w:sz w:val="24"/>
                <w:highlight w:val="none"/>
              </w:rPr>
            </w:pPr>
            <w:r>
              <w:rPr>
                <w:rFonts w:hint="default" w:ascii="Times New Roman" w:hAnsi="Times New Roman" w:cs="Times New Roman"/>
                <w:color w:val="auto"/>
                <w:szCs w:val="20"/>
                <w:highlight w:val="none"/>
                <w:lang w:val="en-US" w:eastAsia="zh-CN" w:bidi="ar"/>
              </w:rPr>
              <w:t>（12）中山市人民政府关于印发中山市</w:t>
            </w:r>
            <w:r>
              <w:rPr>
                <w:rFonts w:hint="eastAsia" w:ascii="Times New Roman" w:hAnsi="Times New Roman" w:cs="Times New Roman"/>
                <w:color w:val="auto"/>
                <w:szCs w:val="20"/>
                <w:highlight w:val="none"/>
                <w:lang w:val="en-US" w:eastAsia="zh-CN" w:bidi="ar"/>
              </w:rPr>
              <w:t>“</w:t>
            </w:r>
            <w:r>
              <w:rPr>
                <w:rFonts w:hint="default" w:ascii="Times New Roman" w:hAnsi="Times New Roman" w:cs="Times New Roman"/>
                <w:color w:val="auto"/>
                <w:szCs w:val="20"/>
                <w:highlight w:val="none"/>
                <w:lang w:val="en-US" w:eastAsia="zh-CN" w:bidi="ar"/>
              </w:rPr>
              <w:t>三线一单</w:t>
            </w:r>
            <w:r>
              <w:rPr>
                <w:rFonts w:hint="eastAsia" w:ascii="Times New Roman" w:hAnsi="Times New Roman" w:cs="Times New Roman"/>
                <w:color w:val="auto"/>
                <w:szCs w:val="20"/>
                <w:highlight w:val="none"/>
                <w:lang w:val="en-US" w:eastAsia="zh-CN" w:bidi="ar"/>
              </w:rPr>
              <w:t>”</w:t>
            </w:r>
            <w:r>
              <w:rPr>
                <w:rFonts w:hint="default" w:ascii="Times New Roman" w:hAnsi="Times New Roman" w:cs="Times New Roman"/>
                <w:color w:val="auto"/>
                <w:szCs w:val="20"/>
                <w:highlight w:val="none"/>
                <w:lang w:val="en-US" w:eastAsia="zh-CN" w:bidi="ar"/>
              </w:rPr>
              <w:t>生态环境分区管控方案的通知中府〔202</w:t>
            </w:r>
            <w:r>
              <w:rPr>
                <w:rFonts w:hint="eastAsia" w:ascii="Times New Roman" w:hAnsi="Times New Roman" w:cs="Times New Roman"/>
                <w:color w:val="auto"/>
                <w:szCs w:val="20"/>
                <w:highlight w:val="none"/>
                <w:lang w:val="en-US" w:eastAsia="zh-CN" w:bidi="ar"/>
              </w:rPr>
              <w:t>4</w:t>
            </w:r>
            <w:r>
              <w:rPr>
                <w:rFonts w:hint="default" w:ascii="Times New Roman" w:hAnsi="Times New Roman" w:cs="Times New Roman"/>
                <w:color w:val="auto"/>
                <w:szCs w:val="20"/>
                <w:highlight w:val="none"/>
                <w:lang w:val="en-US" w:eastAsia="zh-CN" w:bidi="ar"/>
              </w:rPr>
              <w:t>〕</w:t>
            </w:r>
            <w:r>
              <w:rPr>
                <w:rFonts w:hint="eastAsia" w:ascii="Times New Roman" w:hAnsi="Times New Roman" w:cs="Times New Roman"/>
                <w:color w:val="auto"/>
                <w:szCs w:val="20"/>
                <w:highlight w:val="none"/>
                <w:lang w:val="en-US" w:eastAsia="zh-CN" w:bidi="ar"/>
              </w:rPr>
              <w:t>52</w:t>
            </w:r>
            <w:r>
              <w:rPr>
                <w:rFonts w:hint="default" w:ascii="Times New Roman" w:hAnsi="Times New Roman" w:cs="Times New Roman"/>
                <w:color w:val="auto"/>
                <w:szCs w:val="20"/>
                <w:highlight w:val="none"/>
                <w:lang w:val="en-US" w:eastAsia="zh-CN" w:bidi="ar"/>
              </w:rPr>
              <w:t xml:space="preserve">号。 </w:t>
            </w:r>
          </w:p>
          <w:p w14:paraId="0C38D170">
            <w:pPr>
              <w:spacing w:line="360" w:lineRule="auto"/>
              <w:ind w:firstLine="482" w:firstLineChars="200"/>
              <w:rPr>
                <w:b/>
                <w:color w:val="auto"/>
                <w:sz w:val="28"/>
                <w:highlight w:val="none"/>
              </w:rPr>
            </w:pPr>
            <w:r>
              <w:rPr>
                <w:rFonts w:hint="eastAsia"/>
                <w:b/>
                <w:color w:val="auto"/>
                <w:sz w:val="24"/>
                <w:highlight w:val="none"/>
              </w:rPr>
              <w:t>三</w:t>
            </w:r>
            <w:r>
              <w:rPr>
                <w:b/>
                <w:color w:val="auto"/>
                <w:sz w:val="24"/>
                <w:highlight w:val="none"/>
              </w:rPr>
              <w:t>、项目建设内容</w:t>
            </w:r>
          </w:p>
          <w:p w14:paraId="120532EC">
            <w:pPr>
              <w:spacing w:line="360" w:lineRule="auto"/>
              <w:ind w:firstLine="482" w:firstLineChars="200"/>
              <w:rPr>
                <w:rFonts w:hint="eastAsia"/>
                <w:color w:val="auto"/>
                <w:sz w:val="24"/>
                <w:highlight w:val="none"/>
              </w:rPr>
            </w:pPr>
            <w:r>
              <w:rPr>
                <w:b/>
                <w:color w:val="auto"/>
                <w:sz w:val="24"/>
                <w:highlight w:val="none"/>
              </w:rPr>
              <w:t>1、基本信息</w:t>
            </w:r>
          </w:p>
          <w:p w14:paraId="79B989F3">
            <w:pPr>
              <w:spacing w:line="360" w:lineRule="auto"/>
              <w:ind w:firstLine="480" w:firstLineChars="200"/>
              <w:rPr>
                <w:rFonts w:hint="default" w:eastAsia="宋体"/>
                <w:color w:val="auto"/>
                <w:sz w:val="24"/>
                <w:highlight w:val="none"/>
                <w:lang w:val="en-US" w:eastAsia="zh-CN"/>
              </w:rPr>
            </w:pPr>
            <w:r>
              <w:rPr>
                <w:rFonts w:hint="eastAsia"/>
                <w:color w:val="auto"/>
                <w:sz w:val="24"/>
                <w:highlight w:val="none"/>
                <w:lang w:eastAsia="zh-CN"/>
              </w:rPr>
              <w:t>中山市顺楷电器有限公司</w:t>
            </w:r>
            <w:r>
              <w:rPr>
                <w:color w:val="auto"/>
                <w:sz w:val="24"/>
                <w:highlight w:val="none"/>
              </w:rPr>
              <w:t>位于</w:t>
            </w:r>
            <w:r>
              <w:rPr>
                <w:rFonts w:hint="eastAsia"/>
                <w:color w:val="auto"/>
                <w:sz w:val="24"/>
                <w:highlight w:val="none"/>
                <w:lang w:eastAsia="zh-CN"/>
              </w:rPr>
              <w:t>中山市东凤镇同安村同安大道东路展业十九巷11号三楼之一</w:t>
            </w:r>
            <w:r>
              <w:rPr>
                <w:color w:val="auto"/>
                <w:spacing w:val="6"/>
                <w:sz w:val="24"/>
                <w:highlight w:val="none"/>
              </w:rPr>
              <w:t>（项目中心位置：</w:t>
            </w:r>
            <w:r>
              <w:rPr>
                <w:rFonts w:hint="eastAsia"/>
                <w:color w:val="auto"/>
                <w:sz w:val="24"/>
                <w:highlight w:val="none"/>
                <w:lang w:eastAsia="zh-CN"/>
              </w:rPr>
              <w:t>东经：113°15′25.220″，北纬：22°43′19.795″</w:t>
            </w:r>
            <w:r>
              <w:rPr>
                <w:color w:val="auto"/>
                <w:spacing w:val="6"/>
                <w:sz w:val="24"/>
                <w:highlight w:val="none"/>
              </w:rPr>
              <w:t>）。项目总投资为</w:t>
            </w:r>
            <w:r>
              <w:rPr>
                <w:rFonts w:hint="eastAsia"/>
                <w:color w:val="auto"/>
                <w:spacing w:val="6"/>
                <w:sz w:val="24"/>
                <w:highlight w:val="none"/>
                <w:lang w:val="en-US" w:eastAsia="zh-CN"/>
              </w:rPr>
              <w:t>500</w:t>
            </w:r>
            <w:r>
              <w:rPr>
                <w:color w:val="auto"/>
                <w:spacing w:val="6"/>
                <w:sz w:val="24"/>
                <w:highlight w:val="none"/>
              </w:rPr>
              <w:t>万元，环保投资</w:t>
            </w:r>
            <w:r>
              <w:rPr>
                <w:rFonts w:hint="eastAsia"/>
                <w:color w:val="auto"/>
                <w:spacing w:val="6"/>
                <w:sz w:val="24"/>
                <w:highlight w:val="none"/>
                <w:lang w:val="en-US" w:eastAsia="zh-CN"/>
              </w:rPr>
              <w:t>1</w:t>
            </w:r>
            <w:r>
              <w:rPr>
                <w:rFonts w:hint="eastAsia"/>
                <w:color w:val="auto"/>
                <w:spacing w:val="6"/>
                <w:sz w:val="24"/>
                <w:highlight w:val="none"/>
              </w:rPr>
              <w:t>0</w:t>
            </w:r>
            <w:r>
              <w:rPr>
                <w:color w:val="auto"/>
                <w:spacing w:val="6"/>
                <w:sz w:val="24"/>
                <w:highlight w:val="none"/>
              </w:rPr>
              <w:t>万元，用地面积</w:t>
            </w:r>
            <w:r>
              <w:rPr>
                <w:rFonts w:hint="eastAsia"/>
                <w:color w:val="auto"/>
                <w:spacing w:val="6"/>
                <w:sz w:val="24"/>
                <w:highlight w:val="none"/>
                <w:lang w:val="en-US" w:eastAsia="zh-CN"/>
              </w:rPr>
              <w:t>1800</w:t>
            </w:r>
            <w:r>
              <w:rPr>
                <w:color w:val="auto"/>
                <w:spacing w:val="6"/>
                <w:sz w:val="24"/>
                <w:highlight w:val="none"/>
              </w:rPr>
              <w:t>平方米，建筑面积为</w:t>
            </w:r>
            <w:r>
              <w:rPr>
                <w:rFonts w:hint="eastAsia"/>
                <w:color w:val="auto"/>
                <w:spacing w:val="6"/>
                <w:sz w:val="24"/>
                <w:highlight w:val="none"/>
                <w:lang w:val="en-US" w:eastAsia="zh-CN"/>
              </w:rPr>
              <w:t>3600</w:t>
            </w:r>
            <w:r>
              <w:rPr>
                <w:color w:val="auto"/>
                <w:spacing w:val="6"/>
                <w:sz w:val="24"/>
                <w:highlight w:val="none"/>
              </w:rPr>
              <w:t>平方米。</w:t>
            </w:r>
            <w:bookmarkStart w:id="3" w:name="_Hlk42875416"/>
            <w:r>
              <w:rPr>
                <w:color w:val="auto"/>
                <w:sz w:val="24"/>
                <w:highlight w:val="none"/>
              </w:rPr>
              <w:t>项目主要</w:t>
            </w:r>
            <w:bookmarkEnd w:id="3"/>
            <w:r>
              <w:rPr>
                <w:rFonts w:hint="eastAsia" w:ascii="Times New Roman" w:hAnsi="Times New Roman" w:eastAsia="宋体" w:cs="Times New Roman"/>
                <w:color w:val="auto"/>
                <w:sz w:val="24"/>
                <w:highlight w:val="none"/>
                <w:lang w:eastAsia="zh-CN"/>
              </w:rPr>
              <w:t>从事</w:t>
            </w:r>
            <w:r>
              <w:rPr>
                <w:rFonts w:hint="eastAsia" w:cs="Times New Roman"/>
                <w:color w:val="auto"/>
                <w:sz w:val="24"/>
                <w:highlight w:val="none"/>
                <w:lang w:val="en-US" w:eastAsia="zh-CN"/>
              </w:rPr>
              <w:t>塑料配件</w:t>
            </w:r>
            <w:r>
              <w:rPr>
                <w:rFonts w:hint="eastAsia" w:ascii="Times New Roman" w:hAnsi="Times New Roman" w:eastAsia="宋体" w:cs="Times New Roman"/>
                <w:color w:val="auto"/>
                <w:sz w:val="24"/>
                <w:highlight w:val="none"/>
                <w:lang w:val="en-US" w:eastAsia="zh-CN"/>
              </w:rPr>
              <w:t>制造</w:t>
            </w:r>
            <w:r>
              <w:rPr>
                <w:rFonts w:hint="eastAsia" w:ascii="Times New Roman" w:hAnsi="Times New Roman" w:eastAsia="宋体" w:cs="Times New Roman"/>
                <w:color w:val="auto"/>
                <w:sz w:val="24"/>
                <w:highlight w:val="none"/>
                <w:lang w:eastAsia="zh-CN"/>
              </w:rPr>
              <w:t>，</w:t>
            </w:r>
            <w:r>
              <w:rPr>
                <w:color w:val="auto"/>
                <w:sz w:val="24"/>
                <w:highlight w:val="none"/>
              </w:rPr>
              <w:t>年</w:t>
            </w:r>
            <w:r>
              <w:rPr>
                <w:rFonts w:hint="eastAsia"/>
                <w:color w:val="auto"/>
                <w:sz w:val="24"/>
                <w:highlight w:val="none"/>
              </w:rPr>
              <w:t>产</w:t>
            </w:r>
            <w:r>
              <w:rPr>
                <w:rFonts w:hint="eastAsia" w:cs="Times New Roman"/>
                <w:color w:val="auto"/>
                <w:sz w:val="24"/>
                <w:highlight w:val="none"/>
                <w:lang w:val="en-US" w:eastAsia="zh-CN"/>
              </w:rPr>
              <w:t>塑料配件</w:t>
            </w:r>
            <w:r>
              <w:rPr>
                <w:rFonts w:hint="eastAsia"/>
                <w:color w:val="auto"/>
                <w:sz w:val="24"/>
                <w:highlight w:val="none"/>
                <w:lang w:val="en-US" w:eastAsia="zh-CN"/>
              </w:rPr>
              <w:t>100万套</w:t>
            </w:r>
            <w:r>
              <w:rPr>
                <w:rFonts w:hint="eastAsia"/>
                <w:color w:val="auto"/>
                <w:sz w:val="24"/>
                <w:highlight w:val="none"/>
              </w:rPr>
              <w:t>。</w:t>
            </w:r>
            <w:r>
              <w:rPr>
                <w:rFonts w:hint="eastAsia"/>
                <w:color w:val="auto"/>
                <w:sz w:val="24"/>
                <w:highlight w:val="none"/>
                <w:lang w:eastAsia="zh-CN"/>
              </w:rPr>
              <w:t>项目每年生产</w:t>
            </w:r>
            <w:r>
              <w:rPr>
                <w:rFonts w:hint="eastAsia"/>
                <w:color w:val="auto"/>
                <w:sz w:val="24"/>
                <w:highlight w:val="none"/>
                <w:lang w:val="en-US" w:eastAsia="zh-CN"/>
              </w:rPr>
              <w:t>300天，每天生产8小时。</w:t>
            </w:r>
          </w:p>
          <w:p w14:paraId="5ABAEBCB">
            <w:pPr>
              <w:pStyle w:val="95"/>
              <w:spacing w:before="120"/>
              <w:rPr>
                <w:rFonts w:hint="eastAsia"/>
                <w:b/>
                <w:color w:val="auto"/>
                <w:kern w:val="2"/>
                <w:sz w:val="21"/>
                <w:highlight w:val="none"/>
              </w:rPr>
            </w:pPr>
            <w:r>
              <w:rPr>
                <w:rFonts w:hint="eastAsia"/>
                <w:b/>
                <w:color w:val="auto"/>
                <w:kern w:val="2"/>
                <w:sz w:val="21"/>
                <w:highlight w:val="none"/>
              </w:rPr>
              <w:t>项目工程组成一览表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730"/>
              <w:gridCol w:w="1068"/>
              <w:gridCol w:w="3045"/>
              <w:gridCol w:w="3991"/>
            </w:tblGrid>
            <w:tr w14:paraId="554D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shd w:val="clear" w:color="auto" w:fill="auto"/>
                  <w:vAlign w:val="center"/>
                </w:tcPr>
                <w:p w14:paraId="291596DF">
                  <w:pPr>
                    <w:jc w:val="center"/>
                    <w:rPr>
                      <w:b/>
                      <w:bCs/>
                      <w:color w:val="auto"/>
                      <w:szCs w:val="21"/>
                      <w:highlight w:val="none"/>
                    </w:rPr>
                  </w:pPr>
                  <w:bookmarkStart w:id="4" w:name="_Hlk87786780"/>
                  <w:r>
                    <w:rPr>
                      <w:b/>
                      <w:bCs/>
                      <w:color w:val="auto"/>
                      <w:szCs w:val="21"/>
                      <w:highlight w:val="none"/>
                    </w:rPr>
                    <w:t>工程类别</w:t>
                  </w:r>
                </w:p>
              </w:tc>
              <w:tc>
                <w:tcPr>
                  <w:tcW w:w="1068" w:type="dxa"/>
                  <w:shd w:val="clear" w:color="auto" w:fill="auto"/>
                  <w:vAlign w:val="center"/>
                </w:tcPr>
                <w:p w14:paraId="6C3B9A41">
                  <w:pPr>
                    <w:jc w:val="center"/>
                    <w:rPr>
                      <w:b/>
                      <w:bCs/>
                      <w:color w:val="auto"/>
                      <w:szCs w:val="21"/>
                      <w:highlight w:val="none"/>
                    </w:rPr>
                  </w:pPr>
                  <w:r>
                    <w:rPr>
                      <w:b/>
                      <w:bCs/>
                      <w:color w:val="auto"/>
                      <w:szCs w:val="21"/>
                      <w:highlight w:val="none"/>
                    </w:rPr>
                    <w:t>建设内容</w:t>
                  </w:r>
                </w:p>
              </w:tc>
              <w:tc>
                <w:tcPr>
                  <w:tcW w:w="7036" w:type="dxa"/>
                  <w:gridSpan w:val="2"/>
                  <w:shd w:val="clear" w:color="auto" w:fill="auto"/>
                  <w:vAlign w:val="center"/>
                </w:tcPr>
                <w:p w14:paraId="27F87303">
                  <w:pPr>
                    <w:jc w:val="center"/>
                    <w:rPr>
                      <w:b/>
                      <w:bCs/>
                      <w:color w:val="auto"/>
                      <w:szCs w:val="21"/>
                      <w:highlight w:val="none"/>
                    </w:rPr>
                  </w:pPr>
                  <w:r>
                    <w:rPr>
                      <w:b/>
                      <w:bCs/>
                      <w:color w:val="auto"/>
                      <w:szCs w:val="21"/>
                      <w:highlight w:val="none"/>
                    </w:rPr>
                    <w:t>工程内容</w:t>
                  </w:r>
                  <w:r>
                    <w:rPr>
                      <w:rFonts w:hint="eastAsia"/>
                      <w:b/>
                      <w:bCs/>
                      <w:color w:val="auto"/>
                      <w:szCs w:val="21"/>
                      <w:highlight w:val="none"/>
                      <w:lang w:eastAsia="zh-CN"/>
                    </w:rPr>
                    <w:t>及</w:t>
                  </w:r>
                  <w:r>
                    <w:rPr>
                      <w:b/>
                      <w:bCs/>
                      <w:color w:val="auto"/>
                      <w:szCs w:val="21"/>
                      <w:highlight w:val="none"/>
                    </w:rPr>
                    <w:t>工程规模</w:t>
                  </w:r>
                </w:p>
              </w:tc>
            </w:tr>
            <w:tr w14:paraId="3AA80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shd w:val="clear" w:color="auto" w:fill="auto"/>
                  <w:vAlign w:val="center"/>
                </w:tcPr>
                <w:p w14:paraId="18468DAB">
                  <w:pPr>
                    <w:snapToGrid w:val="0"/>
                    <w:jc w:val="center"/>
                    <w:rPr>
                      <w:color w:val="auto"/>
                      <w:szCs w:val="21"/>
                      <w:highlight w:val="none"/>
                    </w:rPr>
                  </w:pPr>
                  <w:r>
                    <w:rPr>
                      <w:color w:val="auto"/>
                      <w:szCs w:val="21"/>
                      <w:highlight w:val="none"/>
                    </w:rPr>
                    <w:t>主体工程</w:t>
                  </w:r>
                </w:p>
              </w:tc>
              <w:tc>
                <w:tcPr>
                  <w:tcW w:w="1068" w:type="dxa"/>
                  <w:shd w:val="clear" w:color="auto" w:fill="auto"/>
                  <w:vAlign w:val="center"/>
                </w:tcPr>
                <w:p w14:paraId="146EAEE0">
                  <w:pPr>
                    <w:jc w:val="center"/>
                    <w:rPr>
                      <w:color w:val="auto"/>
                      <w:szCs w:val="21"/>
                      <w:highlight w:val="none"/>
                    </w:rPr>
                  </w:pPr>
                  <w:r>
                    <w:rPr>
                      <w:rFonts w:hint="eastAsia"/>
                      <w:color w:val="auto"/>
                      <w:szCs w:val="21"/>
                      <w:highlight w:val="none"/>
                    </w:rPr>
                    <w:t>生产车间</w:t>
                  </w:r>
                </w:p>
              </w:tc>
              <w:tc>
                <w:tcPr>
                  <w:tcW w:w="7036" w:type="dxa"/>
                  <w:gridSpan w:val="2"/>
                  <w:shd w:val="clear" w:color="auto" w:fill="auto"/>
                  <w:vAlign w:val="center"/>
                </w:tcPr>
                <w:p w14:paraId="17C2B2AD">
                  <w:pPr>
                    <w:snapToGrid w:val="0"/>
                    <w:jc w:val="center"/>
                    <w:rPr>
                      <w:rFonts w:hint="eastAsia" w:eastAsia="宋体"/>
                      <w:color w:val="auto"/>
                      <w:szCs w:val="21"/>
                      <w:highlight w:val="none"/>
                      <w:lang w:eastAsia="zh-CN"/>
                    </w:rPr>
                  </w:pPr>
                  <w:r>
                    <w:rPr>
                      <w:rFonts w:hint="eastAsia" w:ascii="Times New Roman" w:hAnsi="Times New Roman" w:eastAsia="宋体" w:cs="Times New Roman"/>
                      <w:color w:val="auto"/>
                      <w:szCs w:val="21"/>
                      <w:highlight w:val="none"/>
                      <w:lang w:eastAsia="zh-CN"/>
                    </w:rPr>
                    <w:t>租赁1栋</w:t>
                  </w:r>
                  <w:r>
                    <w:rPr>
                      <w:rFonts w:hint="eastAsia" w:cs="Times New Roman"/>
                      <w:color w:val="auto"/>
                      <w:szCs w:val="21"/>
                      <w:highlight w:val="none"/>
                      <w:lang w:val="en-US" w:eastAsia="zh-CN"/>
                    </w:rPr>
                    <w:t>7</w:t>
                  </w:r>
                  <w:r>
                    <w:rPr>
                      <w:rFonts w:hint="eastAsia" w:ascii="Times New Roman" w:hAnsi="Times New Roman" w:eastAsia="宋体" w:cs="Times New Roman"/>
                      <w:color w:val="auto"/>
                      <w:szCs w:val="21"/>
                      <w:highlight w:val="none"/>
                      <w:lang w:eastAsia="zh-CN"/>
                    </w:rPr>
                    <w:t>层</w:t>
                  </w:r>
                  <w:r>
                    <w:rPr>
                      <w:rFonts w:hint="eastAsia" w:cs="Times New Roman"/>
                      <w:color w:val="auto"/>
                      <w:szCs w:val="21"/>
                      <w:highlight w:val="none"/>
                      <w:lang w:val="en-US" w:eastAsia="zh-CN"/>
                    </w:rPr>
                    <w:t>占地18</w:t>
                  </w:r>
                  <w:r>
                    <w:rPr>
                      <w:rFonts w:hint="eastAsia" w:ascii="Times New Roman" w:hAnsi="Times New Roman" w:eastAsia="宋体" w:cs="Times New Roman"/>
                      <w:color w:val="auto"/>
                      <w:szCs w:val="21"/>
                      <w:highlight w:val="none"/>
                      <w:lang w:eastAsia="zh-CN"/>
                    </w:rPr>
                    <w:t>00平方米钢筋混凝土厂房的第</w:t>
                  </w:r>
                  <w:r>
                    <w:rPr>
                      <w:rFonts w:hint="eastAsia" w:cs="Times New Roman"/>
                      <w:color w:val="auto"/>
                      <w:szCs w:val="21"/>
                      <w:highlight w:val="none"/>
                      <w:lang w:val="en-US" w:eastAsia="zh-CN"/>
                    </w:rPr>
                    <w:t>2-3</w:t>
                  </w:r>
                  <w:r>
                    <w:rPr>
                      <w:rFonts w:hint="eastAsia" w:ascii="Times New Roman" w:hAnsi="Times New Roman" w:eastAsia="宋体" w:cs="Times New Roman"/>
                      <w:color w:val="auto"/>
                      <w:szCs w:val="21"/>
                      <w:highlight w:val="none"/>
                      <w:lang w:eastAsia="zh-CN"/>
                    </w:rPr>
                    <w:t>层的</w:t>
                  </w:r>
                  <w:r>
                    <w:rPr>
                      <w:rFonts w:hint="eastAsia" w:cs="Times New Roman"/>
                      <w:color w:val="auto"/>
                      <w:szCs w:val="21"/>
                      <w:highlight w:val="none"/>
                      <w:lang w:val="en-US" w:eastAsia="zh-CN"/>
                    </w:rPr>
                    <w:t>18</w:t>
                  </w:r>
                  <w:r>
                    <w:rPr>
                      <w:rFonts w:hint="eastAsia" w:ascii="Times New Roman" w:hAnsi="Times New Roman" w:eastAsia="宋体" w:cs="Times New Roman"/>
                      <w:color w:val="auto"/>
                      <w:szCs w:val="21"/>
                      <w:highlight w:val="none"/>
                      <w:lang w:eastAsia="zh-CN"/>
                    </w:rPr>
                    <w:t>00平方米面积作为经营场所，</w:t>
                  </w:r>
                  <w:r>
                    <w:rPr>
                      <w:rFonts w:hint="eastAsia" w:ascii="Times New Roman" w:hAnsi="Times New Roman" w:eastAsia="宋体" w:cs="Times New Roman"/>
                      <w:color w:val="auto"/>
                      <w:szCs w:val="21"/>
                      <w:highlight w:val="none"/>
                      <w:lang w:val="en-US" w:eastAsia="zh-CN"/>
                    </w:rPr>
                    <w:t>1楼为宏硕模具（中山）有限公司，4楼为趣氪科技有限公司、5楼为宏硕模具和云泉电器仓库，6楼为云泉电器有限公司，7楼为欣创电机有限公司。厂房首层高度7.9米，2-7层高度为4.9米</w:t>
                  </w:r>
                  <w:r>
                    <w:rPr>
                      <w:rFonts w:hint="eastAsia" w:ascii="Times New Roman" w:hAnsi="Times New Roman" w:eastAsia="宋体" w:cs="Times New Roman"/>
                      <w:color w:val="auto"/>
                      <w:szCs w:val="21"/>
                      <w:highlight w:val="none"/>
                      <w:lang w:eastAsia="zh-CN"/>
                    </w:rPr>
                    <w:t>，整栋楼高</w:t>
                  </w:r>
                  <w:r>
                    <w:rPr>
                      <w:rFonts w:hint="eastAsia" w:ascii="Times New Roman" w:hAnsi="Times New Roman" w:eastAsia="宋体" w:cs="Times New Roman"/>
                      <w:color w:val="auto"/>
                      <w:szCs w:val="21"/>
                      <w:highlight w:val="none"/>
                      <w:lang w:val="en-US" w:eastAsia="zh-CN"/>
                    </w:rPr>
                    <w:t>37.3m，项目</w:t>
                  </w:r>
                  <w:r>
                    <w:rPr>
                      <w:rFonts w:hint="default" w:ascii="Times New Roman" w:hAnsi="Times New Roman" w:eastAsia="宋体" w:cs="Times New Roman"/>
                      <w:color w:val="auto"/>
                      <w:szCs w:val="21"/>
                      <w:highlight w:val="none"/>
                      <w:lang w:eastAsia="zh-CN"/>
                    </w:rPr>
                    <w:t>占地面积</w:t>
                  </w:r>
                  <w:r>
                    <w:rPr>
                      <w:rFonts w:hint="eastAsia" w:ascii="Times New Roman" w:hAnsi="Times New Roman" w:eastAsia="宋体" w:cs="Times New Roman"/>
                      <w:color w:val="auto"/>
                      <w:szCs w:val="21"/>
                      <w:highlight w:val="none"/>
                      <w:lang w:val="en-US" w:eastAsia="zh-CN"/>
                    </w:rPr>
                    <w:t>1800㎡</w:t>
                  </w:r>
                  <w:r>
                    <w:rPr>
                      <w:rFonts w:hint="default" w:ascii="Times New Roman" w:hAnsi="Times New Roman" w:eastAsia="宋体" w:cs="Times New Roman"/>
                      <w:color w:val="auto"/>
                      <w:szCs w:val="21"/>
                      <w:highlight w:val="none"/>
                      <w:lang w:eastAsia="zh-CN"/>
                    </w:rPr>
                    <w:t>，建筑面积</w:t>
                  </w:r>
                  <w:r>
                    <w:rPr>
                      <w:rFonts w:hint="eastAsia" w:ascii="Times New Roman" w:hAnsi="Times New Roman" w:eastAsia="宋体" w:cs="Times New Roman"/>
                      <w:color w:val="auto"/>
                      <w:szCs w:val="21"/>
                      <w:highlight w:val="none"/>
                      <w:lang w:val="en-US" w:eastAsia="zh-CN"/>
                    </w:rPr>
                    <w:t>3600㎡</w:t>
                  </w:r>
                  <w:r>
                    <w:rPr>
                      <w:rFonts w:hint="default"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项目设有投料、混料、烘料、注塑、组装、机加工、点胶、烘干</w:t>
                  </w:r>
                  <w:r>
                    <w:rPr>
                      <w:rFonts w:hint="eastAsia" w:ascii="Times New Roman" w:hAnsi="Times New Roman" w:eastAsia="宋体" w:cs="Times New Roman"/>
                      <w:color w:val="auto"/>
                      <w:szCs w:val="21"/>
                      <w:highlight w:val="none"/>
                      <w:lang w:eastAsia="zh-CN"/>
                    </w:rPr>
                    <w:t>。</w:t>
                  </w:r>
                </w:p>
              </w:tc>
            </w:tr>
            <w:tr w14:paraId="5FFB0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restart"/>
                  <w:shd w:val="clear" w:color="auto" w:fill="auto"/>
                  <w:vAlign w:val="center"/>
                </w:tcPr>
                <w:p w14:paraId="73A710C8">
                  <w:pPr>
                    <w:snapToGrid w:val="0"/>
                    <w:jc w:val="center"/>
                    <w:rPr>
                      <w:color w:val="auto"/>
                      <w:szCs w:val="21"/>
                      <w:highlight w:val="none"/>
                    </w:rPr>
                  </w:pPr>
                  <w:r>
                    <w:rPr>
                      <w:color w:val="auto"/>
                      <w:szCs w:val="21"/>
                      <w:highlight w:val="none"/>
                    </w:rPr>
                    <w:t>公用工程</w:t>
                  </w:r>
                </w:p>
              </w:tc>
              <w:tc>
                <w:tcPr>
                  <w:tcW w:w="1068" w:type="dxa"/>
                  <w:shd w:val="clear" w:color="auto" w:fill="auto"/>
                  <w:vAlign w:val="center"/>
                </w:tcPr>
                <w:p w14:paraId="45A739A2">
                  <w:pPr>
                    <w:snapToGrid w:val="0"/>
                    <w:jc w:val="center"/>
                    <w:rPr>
                      <w:color w:val="auto"/>
                      <w:szCs w:val="21"/>
                      <w:highlight w:val="none"/>
                    </w:rPr>
                  </w:pPr>
                  <w:r>
                    <w:rPr>
                      <w:color w:val="auto"/>
                      <w:szCs w:val="21"/>
                      <w:highlight w:val="none"/>
                    </w:rPr>
                    <w:t>供电</w:t>
                  </w:r>
                </w:p>
              </w:tc>
              <w:tc>
                <w:tcPr>
                  <w:tcW w:w="7036" w:type="dxa"/>
                  <w:gridSpan w:val="2"/>
                  <w:shd w:val="clear" w:color="auto" w:fill="auto"/>
                  <w:vAlign w:val="center"/>
                </w:tcPr>
                <w:p w14:paraId="0DE9E688">
                  <w:pPr>
                    <w:snapToGrid w:val="0"/>
                    <w:jc w:val="center"/>
                    <w:rPr>
                      <w:color w:val="auto"/>
                      <w:szCs w:val="21"/>
                      <w:highlight w:val="none"/>
                    </w:rPr>
                  </w:pPr>
                  <w:r>
                    <w:rPr>
                      <w:color w:val="auto"/>
                      <w:szCs w:val="21"/>
                      <w:highlight w:val="none"/>
                    </w:rPr>
                    <w:t>由市政电网供电</w:t>
                  </w:r>
                </w:p>
              </w:tc>
            </w:tr>
            <w:tr w14:paraId="17EEF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3BF87AE0">
                  <w:pPr>
                    <w:snapToGrid w:val="0"/>
                    <w:jc w:val="center"/>
                    <w:rPr>
                      <w:color w:val="auto"/>
                      <w:szCs w:val="21"/>
                      <w:highlight w:val="none"/>
                    </w:rPr>
                  </w:pPr>
                </w:p>
              </w:tc>
              <w:tc>
                <w:tcPr>
                  <w:tcW w:w="1068" w:type="dxa"/>
                  <w:shd w:val="clear" w:color="auto" w:fill="auto"/>
                  <w:vAlign w:val="center"/>
                </w:tcPr>
                <w:p w14:paraId="5E6131FA">
                  <w:pPr>
                    <w:snapToGrid w:val="0"/>
                    <w:jc w:val="center"/>
                    <w:rPr>
                      <w:color w:val="auto"/>
                      <w:szCs w:val="21"/>
                      <w:highlight w:val="none"/>
                    </w:rPr>
                  </w:pPr>
                  <w:r>
                    <w:rPr>
                      <w:color w:val="auto"/>
                      <w:szCs w:val="21"/>
                      <w:highlight w:val="none"/>
                    </w:rPr>
                    <w:t>用水</w:t>
                  </w:r>
                </w:p>
              </w:tc>
              <w:tc>
                <w:tcPr>
                  <w:tcW w:w="7036" w:type="dxa"/>
                  <w:gridSpan w:val="2"/>
                  <w:shd w:val="clear" w:color="auto" w:fill="auto"/>
                  <w:vAlign w:val="center"/>
                </w:tcPr>
                <w:p w14:paraId="27C8CF2B">
                  <w:pPr>
                    <w:snapToGrid w:val="0"/>
                    <w:jc w:val="center"/>
                    <w:rPr>
                      <w:color w:val="auto"/>
                      <w:szCs w:val="21"/>
                      <w:highlight w:val="none"/>
                    </w:rPr>
                  </w:pPr>
                  <w:r>
                    <w:rPr>
                      <w:color w:val="auto"/>
                      <w:szCs w:val="21"/>
                      <w:highlight w:val="none"/>
                    </w:rPr>
                    <w:t>由市政水管网供水</w:t>
                  </w:r>
                </w:p>
              </w:tc>
            </w:tr>
            <w:tr w14:paraId="1398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restart"/>
                  <w:shd w:val="clear" w:color="auto" w:fill="auto"/>
                  <w:vAlign w:val="center"/>
                </w:tcPr>
                <w:p w14:paraId="26C581CE">
                  <w:pPr>
                    <w:snapToGrid w:val="0"/>
                    <w:jc w:val="center"/>
                    <w:rPr>
                      <w:rFonts w:hint="eastAsia"/>
                      <w:color w:val="auto"/>
                      <w:szCs w:val="21"/>
                      <w:highlight w:val="none"/>
                    </w:rPr>
                  </w:pPr>
                  <w:r>
                    <w:rPr>
                      <w:rFonts w:hint="eastAsia"/>
                      <w:color w:val="auto"/>
                      <w:szCs w:val="21"/>
                      <w:highlight w:val="none"/>
                    </w:rPr>
                    <w:t>环保工程</w:t>
                  </w:r>
                </w:p>
              </w:tc>
              <w:tc>
                <w:tcPr>
                  <w:tcW w:w="1068" w:type="dxa"/>
                  <w:vMerge w:val="restart"/>
                  <w:shd w:val="clear" w:color="auto" w:fill="auto"/>
                  <w:vAlign w:val="center"/>
                </w:tcPr>
                <w:p w14:paraId="44D44141">
                  <w:pPr>
                    <w:snapToGrid w:val="0"/>
                    <w:jc w:val="center"/>
                    <w:rPr>
                      <w:color w:val="auto"/>
                      <w:szCs w:val="21"/>
                      <w:highlight w:val="none"/>
                    </w:rPr>
                  </w:pPr>
                  <w:r>
                    <w:rPr>
                      <w:rFonts w:hint="eastAsia"/>
                      <w:color w:val="auto"/>
                      <w:szCs w:val="21"/>
                      <w:highlight w:val="none"/>
                    </w:rPr>
                    <w:t>废气治理设施</w:t>
                  </w:r>
                </w:p>
              </w:tc>
              <w:tc>
                <w:tcPr>
                  <w:tcW w:w="3045" w:type="dxa"/>
                  <w:shd w:val="clear" w:color="auto" w:fill="auto"/>
                  <w:vAlign w:val="center"/>
                </w:tcPr>
                <w:p w14:paraId="7B3BA162">
                  <w:pPr>
                    <w:adjustRightInd w:val="0"/>
                    <w:snapToGrid w:val="0"/>
                    <w:jc w:val="center"/>
                    <w:rPr>
                      <w:rFonts w:hint="default" w:ascii="Calibri" w:hAnsi="Calibri" w:cs="宋体"/>
                      <w:color w:val="auto"/>
                      <w:szCs w:val="21"/>
                      <w:highlight w:val="none"/>
                      <w:lang w:val="en-US" w:bidi="en-AU"/>
                    </w:rPr>
                  </w:pPr>
                  <w:r>
                    <w:rPr>
                      <w:rFonts w:hint="eastAsia"/>
                      <w:color w:val="auto"/>
                      <w:szCs w:val="21"/>
                      <w:highlight w:val="none"/>
                      <w:lang w:val="en-US" w:eastAsia="zh-CN"/>
                    </w:rPr>
                    <w:t>烘料、注塑</w:t>
                  </w:r>
                </w:p>
              </w:tc>
              <w:tc>
                <w:tcPr>
                  <w:tcW w:w="3991" w:type="dxa"/>
                  <w:shd w:val="clear" w:color="auto" w:fill="auto"/>
                  <w:vAlign w:val="center"/>
                </w:tcPr>
                <w:p w14:paraId="55342B32">
                  <w:pPr>
                    <w:snapToGrid w:val="0"/>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kern w:val="2"/>
                      <w:sz w:val="21"/>
                      <w:szCs w:val="21"/>
                      <w:highlight w:val="none"/>
                      <w:lang w:val="en-US" w:eastAsia="zh-CN" w:bidi="ar-SA"/>
                    </w:rPr>
                    <w:t>设置</w:t>
                  </w:r>
                  <w:r>
                    <w:rPr>
                      <w:rFonts w:hint="eastAsia" w:cs="Times New Roman"/>
                      <w:color w:val="auto"/>
                      <w:kern w:val="2"/>
                      <w:sz w:val="21"/>
                      <w:szCs w:val="21"/>
                      <w:highlight w:val="none"/>
                      <w:lang w:val="en-US" w:eastAsia="zh-CN" w:bidi="ar-SA"/>
                    </w:rPr>
                    <w:t>集气罩</w:t>
                  </w:r>
                  <w:r>
                    <w:rPr>
                      <w:rFonts w:hint="eastAsia" w:ascii="Times New Roman" w:hAnsi="Times New Roman" w:eastAsia="宋体" w:cs="Times New Roman"/>
                      <w:color w:val="auto"/>
                      <w:kern w:val="2"/>
                      <w:sz w:val="21"/>
                      <w:szCs w:val="21"/>
                      <w:highlight w:val="none"/>
                      <w:lang w:val="en-US" w:eastAsia="zh-CN" w:bidi="ar-SA"/>
                    </w:rPr>
                    <w:t>收集，经</w:t>
                  </w:r>
                  <w:r>
                    <w:rPr>
                      <w:rFonts w:hint="eastAsia" w:cs="Times New Roman"/>
                      <w:color w:val="auto"/>
                      <w:kern w:val="2"/>
                      <w:sz w:val="21"/>
                      <w:szCs w:val="21"/>
                      <w:highlight w:val="none"/>
                      <w:lang w:val="en-US" w:eastAsia="zh-CN" w:bidi="ar-SA"/>
                    </w:rPr>
                    <w:t>二级</w:t>
                  </w:r>
                  <w:r>
                    <w:rPr>
                      <w:rFonts w:hint="eastAsia" w:ascii="Times New Roman" w:hAnsi="Times New Roman" w:eastAsia="宋体" w:cs="Times New Roman"/>
                      <w:color w:val="auto"/>
                      <w:kern w:val="2"/>
                      <w:sz w:val="21"/>
                      <w:szCs w:val="21"/>
                      <w:highlight w:val="none"/>
                      <w:lang w:val="en-US" w:eastAsia="zh-CN" w:bidi="ar-SA"/>
                    </w:rPr>
                    <w:t>活性炭吸附装置处理后</w:t>
                  </w:r>
                  <w:r>
                    <w:rPr>
                      <w:rFonts w:hint="eastAsia" w:cs="Times New Roman"/>
                      <w:color w:val="auto"/>
                      <w:kern w:val="2"/>
                      <w:sz w:val="21"/>
                      <w:szCs w:val="21"/>
                      <w:highlight w:val="none"/>
                      <w:lang w:val="en-US" w:eastAsia="zh-CN" w:bidi="ar-SA"/>
                    </w:rPr>
                    <w:t>40</w:t>
                  </w:r>
                  <w:r>
                    <w:rPr>
                      <w:rFonts w:hint="eastAsia" w:ascii="Times New Roman" w:hAnsi="Times New Roman" w:eastAsia="宋体" w:cs="Times New Roman"/>
                      <w:color w:val="auto"/>
                      <w:kern w:val="2"/>
                      <w:sz w:val="21"/>
                      <w:szCs w:val="21"/>
                      <w:highlight w:val="none"/>
                      <w:lang w:val="en-US" w:eastAsia="zh-CN" w:bidi="ar-SA"/>
                    </w:rPr>
                    <w:t>m高排气筒排放</w:t>
                  </w:r>
                </w:p>
              </w:tc>
            </w:tr>
            <w:tr w14:paraId="4ACAD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79D6E78F">
                  <w:pPr>
                    <w:snapToGrid w:val="0"/>
                    <w:jc w:val="center"/>
                    <w:rPr>
                      <w:rFonts w:hint="eastAsia"/>
                      <w:color w:val="auto"/>
                      <w:szCs w:val="21"/>
                      <w:highlight w:val="none"/>
                    </w:rPr>
                  </w:pPr>
                </w:p>
              </w:tc>
              <w:tc>
                <w:tcPr>
                  <w:tcW w:w="1068" w:type="dxa"/>
                  <w:vMerge w:val="continue"/>
                  <w:shd w:val="clear" w:color="auto" w:fill="auto"/>
                  <w:vAlign w:val="center"/>
                </w:tcPr>
                <w:p w14:paraId="10A5509C">
                  <w:pPr>
                    <w:snapToGrid w:val="0"/>
                    <w:jc w:val="center"/>
                    <w:rPr>
                      <w:rFonts w:hint="eastAsia"/>
                      <w:color w:val="auto"/>
                      <w:szCs w:val="21"/>
                      <w:highlight w:val="none"/>
                    </w:rPr>
                  </w:pPr>
                </w:p>
              </w:tc>
              <w:tc>
                <w:tcPr>
                  <w:tcW w:w="3045" w:type="dxa"/>
                  <w:shd w:val="clear" w:color="auto" w:fill="auto"/>
                  <w:vAlign w:val="center"/>
                </w:tcPr>
                <w:p w14:paraId="5770D666">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激光打标废气</w:t>
                  </w:r>
                </w:p>
              </w:tc>
              <w:tc>
                <w:tcPr>
                  <w:tcW w:w="3991" w:type="dxa"/>
                  <w:shd w:val="clear" w:color="auto" w:fill="auto"/>
                  <w:vAlign w:val="center"/>
                </w:tcPr>
                <w:p w14:paraId="064F09E6">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Cs w:val="21"/>
                      <w:highlight w:val="none"/>
                      <w:lang w:val="en-US" w:eastAsia="zh-CN"/>
                    </w:rPr>
                    <w:t>加强车间通风换气后无组织排放</w:t>
                  </w:r>
                </w:p>
              </w:tc>
            </w:tr>
            <w:tr w14:paraId="0068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27B93BB4">
                  <w:pPr>
                    <w:snapToGrid w:val="0"/>
                    <w:jc w:val="center"/>
                    <w:rPr>
                      <w:rFonts w:hint="eastAsia"/>
                      <w:color w:val="auto"/>
                      <w:szCs w:val="21"/>
                      <w:highlight w:val="none"/>
                    </w:rPr>
                  </w:pPr>
                </w:p>
              </w:tc>
              <w:tc>
                <w:tcPr>
                  <w:tcW w:w="1068" w:type="dxa"/>
                  <w:vMerge w:val="continue"/>
                  <w:shd w:val="clear" w:color="auto" w:fill="auto"/>
                  <w:vAlign w:val="center"/>
                </w:tcPr>
                <w:p w14:paraId="4B007C8E">
                  <w:pPr>
                    <w:snapToGrid w:val="0"/>
                    <w:jc w:val="center"/>
                    <w:rPr>
                      <w:rFonts w:hint="eastAsia"/>
                      <w:color w:val="auto"/>
                      <w:szCs w:val="21"/>
                      <w:highlight w:val="none"/>
                    </w:rPr>
                  </w:pPr>
                </w:p>
              </w:tc>
              <w:tc>
                <w:tcPr>
                  <w:tcW w:w="3045" w:type="dxa"/>
                  <w:shd w:val="clear" w:color="auto" w:fill="auto"/>
                  <w:vAlign w:val="center"/>
                </w:tcPr>
                <w:p w14:paraId="24289680">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点胶、烘干</w:t>
                  </w:r>
                </w:p>
              </w:tc>
              <w:tc>
                <w:tcPr>
                  <w:tcW w:w="3991" w:type="dxa"/>
                  <w:shd w:val="clear" w:color="auto" w:fill="auto"/>
                  <w:vAlign w:val="center"/>
                </w:tcPr>
                <w:p w14:paraId="11CF89C3">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Cs/>
                      <w:color w:val="auto"/>
                      <w:szCs w:val="21"/>
                      <w:highlight w:val="none"/>
                      <w:lang w:val="en-US" w:eastAsia="zh-CN"/>
                    </w:rPr>
                    <w:t>加强车间通风换气后无组织排放</w:t>
                  </w:r>
                </w:p>
              </w:tc>
            </w:tr>
            <w:tr w14:paraId="627BE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090DFBA5">
                  <w:pPr>
                    <w:snapToGrid w:val="0"/>
                    <w:jc w:val="center"/>
                    <w:rPr>
                      <w:rFonts w:hint="eastAsia"/>
                      <w:color w:val="auto"/>
                      <w:szCs w:val="21"/>
                      <w:highlight w:val="none"/>
                    </w:rPr>
                  </w:pPr>
                </w:p>
              </w:tc>
              <w:tc>
                <w:tcPr>
                  <w:tcW w:w="1068" w:type="dxa"/>
                  <w:shd w:val="clear" w:color="auto" w:fill="auto"/>
                  <w:vAlign w:val="center"/>
                </w:tcPr>
                <w:p w14:paraId="1B900D8B">
                  <w:pPr>
                    <w:snapToGrid w:val="0"/>
                    <w:jc w:val="center"/>
                    <w:rPr>
                      <w:color w:val="auto"/>
                      <w:szCs w:val="21"/>
                      <w:highlight w:val="none"/>
                    </w:rPr>
                  </w:pPr>
                  <w:r>
                    <w:rPr>
                      <w:color w:val="auto"/>
                      <w:szCs w:val="21"/>
                      <w:highlight w:val="none"/>
                    </w:rPr>
                    <w:t>废水处理措施</w:t>
                  </w:r>
                </w:p>
              </w:tc>
              <w:tc>
                <w:tcPr>
                  <w:tcW w:w="7036" w:type="dxa"/>
                  <w:gridSpan w:val="2"/>
                  <w:shd w:val="clear" w:color="auto" w:fill="auto"/>
                  <w:vAlign w:val="center"/>
                </w:tcPr>
                <w:p w14:paraId="40C05A32">
                  <w:pPr>
                    <w:adjustRightInd w:val="0"/>
                    <w:snapToGrid w:val="0"/>
                    <w:jc w:val="center"/>
                    <w:rPr>
                      <w:rFonts w:hint="eastAsia"/>
                      <w:snapToGrid w:val="0"/>
                      <w:color w:val="auto"/>
                      <w:kern w:val="0"/>
                      <w:szCs w:val="21"/>
                      <w:highlight w:val="none"/>
                    </w:rPr>
                  </w:pPr>
                  <w:r>
                    <w:rPr>
                      <w:rFonts w:hint="eastAsia"/>
                      <w:snapToGrid w:val="0"/>
                      <w:color w:val="auto"/>
                      <w:kern w:val="0"/>
                      <w:szCs w:val="21"/>
                      <w:highlight w:val="none"/>
                    </w:rPr>
                    <w:t>生活污水：生活污水经化粪池处理后排入中山市东凤镇污水处理有限责任公司</w:t>
                  </w:r>
                </w:p>
              </w:tc>
            </w:tr>
            <w:tr w14:paraId="034F1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3B515470">
                  <w:pPr>
                    <w:snapToGrid w:val="0"/>
                    <w:jc w:val="center"/>
                    <w:rPr>
                      <w:color w:val="auto"/>
                      <w:szCs w:val="21"/>
                      <w:highlight w:val="none"/>
                    </w:rPr>
                  </w:pPr>
                </w:p>
              </w:tc>
              <w:tc>
                <w:tcPr>
                  <w:tcW w:w="1068" w:type="dxa"/>
                  <w:shd w:val="clear" w:color="auto" w:fill="auto"/>
                  <w:vAlign w:val="center"/>
                </w:tcPr>
                <w:p w14:paraId="260E5468">
                  <w:pPr>
                    <w:snapToGrid w:val="0"/>
                    <w:jc w:val="center"/>
                    <w:rPr>
                      <w:color w:val="auto"/>
                      <w:szCs w:val="21"/>
                      <w:highlight w:val="none"/>
                    </w:rPr>
                  </w:pPr>
                  <w:r>
                    <w:rPr>
                      <w:color w:val="auto"/>
                      <w:szCs w:val="21"/>
                      <w:highlight w:val="none"/>
                    </w:rPr>
                    <w:t>噪声处理措施</w:t>
                  </w:r>
                </w:p>
              </w:tc>
              <w:tc>
                <w:tcPr>
                  <w:tcW w:w="7036" w:type="dxa"/>
                  <w:gridSpan w:val="2"/>
                  <w:shd w:val="clear" w:color="auto" w:fill="auto"/>
                  <w:vAlign w:val="center"/>
                </w:tcPr>
                <w:p w14:paraId="71A7F76B">
                  <w:pPr>
                    <w:adjustRightInd w:val="0"/>
                    <w:jc w:val="center"/>
                    <w:rPr>
                      <w:snapToGrid w:val="0"/>
                      <w:color w:val="auto"/>
                      <w:kern w:val="0"/>
                      <w:szCs w:val="21"/>
                      <w:highlight w:val="none"/>
                    </w:rPr>
                  </w:pPr>
                  <w:r>
                    <w:rPr>
                      <w:snapToGrid w:val="0"/>
                      <w:color w:val="auto"/>
                      <w:kern w:val="0"/>
                      <w:szCs w:val="21"/>
                      <w:highlight w:val="none"/>
                    </w:rPr>
                    <w:t>企业选用低噪声设备，对设备进行合理的布局与安装，选用隔音性能好的门窗，做好隔声、消声、减震等处理工作</w:t>
                  </w:r>
                </w:p>
              </w:tc>
            </w:tr>
            <w:tr w14:paraId="4ECE5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507FF4A0">
                  <w:pPr>
                    <w:snapToGrid w:val="0"/>
                    <w:jc w:val="center"/>
                    <w:rPr>
                      <w:color w:val="auto"/>
                      <w:szCs w:val="21"/>
                      <w:highlight w:val="none"/>
                    </w:rPr>
                  </w:pPr>
                </w:p>
              </w:tc>
              <w:tc>
                <w:tcPr>
                  <w:tcW w:w="1068" w:type="dxa"/>
                  <w:vMerge w:val="restart"/>
                  <w:shd w:val="clear" w:color="auto" w:fill="auto"/>
                  <w:vAlign w:val="center"/>
                </w:tcPr>
                <w:p w14:paraId="18D37AB8">
                  <w:pPr>
                    <w:snapToGrid w:val="0"/>
                    <w:jc w:val="center"/>
                    <w:rPr>
                      <w:color w:val="auto"/>
                      <w:szCs w:val="21"/>
                      <w:highlight w:val="none"/>
                    </w:rPr>
                  </w:pPr>
                  <w:r>
                    <w:rPr>
                      <w:color w:val="auto"/>
                      <w:szCs w:val="21"/>
                      <w:highlight w:val="none"/>
                    </w:rPr>
                    <w:t>固废处理措施</w:t>
                  </w:r>
                </w:p>
              </w:tc>
              <w:tc>
                <w:tcPr>
                  <w:tcW w:w="7036" w:type="dxa"/>
                  <w:gridSpan w:val="2"/>
                  <w:shd w:val="clear" w:color="auto" w:fill="auto"/>
                  <w:vAlign w:val="center"/>
                </w:tcPr>
                <w:p w14:paraId="6AD8D07D">
                  <w:pPr>
                    <w:jc w:val="center"/>
                    <w:rPr>
                      <w:snapToGrid w:val="0"/>
                      <w:color w:val="auto"/>
                      <w:kern w:val="0"/>
                      <w:szCs w:val="21"/>
                      <w:highlight w:val="none"/>
                    </w:rPr>
                  </w:pPr>
                  <w:r>
                    <w:rPr>
                      <w:color w:val="auto"/>
                      <w:szCs w:val="21"/>
                      <w:highlight w:val="none"/>
                    </w:rPr>
                    <w:t>生活垃圾：交由环卫部门处理</w:t>
                  </w:r>
                </w:p>
              </w:tc>
            </w:tr>
            <w:tr w14:paraId="1D71F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6" w:hRule="atLeast"/>
                <w:jc w:val="center"/>
              </w:trPr>
              <w:tc>
                <w:tcPr>
                  <w:tcW w:w="730" w:type="dxa"/>
                  <w:vMerge w:val="continue"/>
                  <w:shd w:val="clear" w:color="auto" w:fill="auto"/>
                  <w:vAlign w:val="center"/>
                </w:tcPr>
                <w:p w14:paraId="0F72E8B9">
                  <w:pPr>
                    <w:snapToGrid w:val="0"/>
                    <w:jc w:val="center"/>
                    <w:rPr>
                      <w:color w:val="auto"/>
                      <w:szCs w:val="21"/>
                      <w:highlight w:val="none"/>
                    </w:rPr>
                  </w:pPr>
                </w:p>
              </w:tc>
              <w:tc>
                <w:tcPr>
                  <w:tcW w:w="1068" w:type="dxa"/>
                  <w:vMerge w:val="continue"/>
                  <w:shd w:val="clear" w:color="auto" w:fill="auto"/>
                  <w:vAlign w:val="center"/>
                </w:tcPr>
                <w:p w14:paraId="0C1EBDD7">
                  <w:pPr>
                    <w:snapToGrid w:val="0"/>
                    <w:jc w:val="center"/>
                    <w:rPr>
                      <w:color w:val="auto"/>
                      <w:szCs w:val="21"/>
                      <w:highlight w:val="none"/>
                    </w:rPr>
                  </w:pPr>
                </w:p>
              </w:tc>
              <w:tc>
                <w:tcPr>
                  <w:tcW w:w="7036" w:type="dxa"/>
                  <w:gridSpan w:val="2"/>
                  <w:shd w:val="clear" w:color="auto" w:fill="auto"/>
                  <w:vAlign w:val="center"/>
                </w:tcPr>
                <w:p w14:paraId="26409A54">
                  <w:pPr>
                    <w:jc w:val="center"/>
                    <w:rPr>
                      <w:snapToGrid w:val="0"/>
                      <w:color w:val="auto"/>
                      <w:kern w:val="0"/>
                      <w:szCs w:val="21"/>
                      <w:highlight w:val="none"/>
                    </w:rPr>
                  </w:pPr>
                  <w:r>
                    <w:rPr>
                      <w:color w:val="auto"/>
                      <w:szCs w:val="21"/>
                      <w:highlight w:val="none"/>
                    </w:rPr>
                    <w:t>一般工业固废：设置一般工业固废暂存仓，集中收集后交给有一般固体废物处理能力的单位处理</w:t>
                  </w:r>
                </w:p>
              </w:tc>
            </w:tr>
            <w:tr w14:paraId="228B3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730" w:type="dxa"/>
                  <w:vMerge w:val="continue"/>
                  <w:shd w:val="clear" w:color="auto" w:fill="auto"/>
                  <w:vAlign w:val="center"/>
                </w:tcPr>
                <w:p w14:paraId="5A65A668">
                  <w:pPr>
                    <w:snapToGrid w:val="0"/>
                    <w:jc w:val="center"/>
                    <w:rPr>
                      <w:color w:val="auto"/>
                      <w:szCs w:val="21"/>
                      <w:highlight w:val="none"/>
                    </w:rPr>
                  </w:pPr>
                </w:p>
              </w:tc>
              <w:tc>
                <w:tcPr>
                  <w:tcW w:w="1068" w:type="dxa"/>
                  <w:vMerge w:val="continue"/>
                  <w:shd w:val="clear" w:color="auto" w:fill="auto"/>
                  <w:vAlign w:val="center"/>
                </w:tcPr>
                <w:p w14:paraId="682B589E">
                  <w:pPr>
                    <w:snapToGrid w:val="0"/>
                    <w:jc w:val="center"/>
                    <w:rPr>
                      <w:color w:val="auto"/>
                      <w:szCs w:val="21"/>
                      <w:highlight w:val="none"/>
                    </w:rPr>
                  </w:pPr>
                </w:p>
              </w:tc>
              <w:tc>
                <w:tcPr>
                  <w:tcW w:w="7036" w:type="dxa"/>
                  <w:gridSpan w:val="2"/>
                  <w:shd w:val="clear" w:color="auto" w:fill="auto"/>
                  <w:vAlign w:val="center"/>
                </w:tcPr>
                <w:p w14:paraId="654AC864">
                  <w:pPr>
                    <w:jc w:val="center"/>
                    <w:rPr>
                      <w:color w:val="auto"/>
                      <w:szCs w:val="21"/>
                      <w:highlight w:val="none"/>
                    </w:rPr>
                  </w:pPr>
                  <w:r>
                    <w:rPr>
                      <w:color w:val="auto"/>
                      <w:szCs w:val="21"/>
                      <w:highlight w:val="none"/>
                    </w:rPr>
                    <w:t>危险废物：设置危废仓，收集后交由具有相关危险废物经营许可证的单位处理</w:t>
                  </w:r>
                </w:p>
              </w:tc>
            </w:tr>
            <w:bookmarkEnd w:id="4"/>
          </w:tbl>
          <w:p w14:paraId="3978112B">
            <w:pPr>
              <w:adjustRightInd w:val="0"/>
              <w:snapToGrid w:val="0"/>
              <w:spacing w:line="360" w:lineRule="auto"/>
              <w:ind w:firstLine="482" w:firstLineChars="200"/>
              <w:rPr>
                <w:rFonts w:hint="eastAsia"/>
                <w:b/>
                <w:color w:val="auto"/>
                <w:sz w:val="24"/>
                <w:highlight w:val="none"/>
              </w:rPr>
            </w:pPr>
            <w:r>
              <w:rPr>
                <w:rFonts w:hint="eastAsia"/>
                <w:b/>
                <w:color w:val="auto"/>
                <w:sz w:val="24"/>
                <w:highlight w:val="none"/>
              </w:rPr>
              <w:t>2、主要产品及产量</w:t>
            </w:r>
          </w:p>
          <w:p w14:paraId="255D0879">
            <w:pPr>
              <w:pStyle w:val="95"/>
              <w:spacing w:before="120"/>
              <w:rPr>
                <w:b/>
                <w:color w:val="auto"/>
                <w:kern w:val="2"/>
                <w:sz w:val="21"/>
                <w:highlight w:val="none"/>
              </w:rPr>
            </w:pPr>
            <w:r>
              <w:rPr>
                <w:b/>
                <w:color w:val="auto"/>
                <w:kern w:val="2"/>
                <w:sz w:val="21"/>
                <w:highlight w:val="none"/>
              </w:rPr>
              <w:t>产品及产量一览表</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852"/>
              <w:gridCol w:w="2971"/>
              <w:gridCol w:w="2003"/>
              <w:gridCol w:w="2003"/>
            </w:tblGrid>
            <w:tr w14:paraId="13E7C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52" w:type="dxa"/>
                  <w:shd w:val="clear" w:color="auto" w:fill="auto"/>
                  <w:vAlign w:val="center"/>
                </w:tcPr>
                <w:p w14:paraId="3563148D">
                  <w:pPr>
                    <w:spacing w:before="20"/>
                    <w:ind w:right="15"/>
                    <w:jc w:val="center"/>
                    <w:rPr>
                      <w:b/>
                      <w:bCs/>
                      <w:color w:val="auto"/>
                      <w:highlight w:val="none"/>
                    </w:rPr>
                  </w:pPr>
                  <w:r>
                    <w:rPr>
                      <w:b/>
                      <w:bCs/>
                      <w:color w:val="auto"/>
                      <w:spacing w:val="20"/>
                      <w:szCs w:val="21"/>
                      <w:highlight w:val="none"/>
                    </w:rPr>
                    <w:t>序号</w:t>
                  </w:r>
                </w:p>
              </w:tc>
              <w:tc>
                <w:tcPr>
                  <w:tcW w:w="2971" w:type="dxa"/>
                  <w:shd w:val="clear" w:color="auto" w:fill="auto"/>
                  <w:vAlign w:val="center"/>
                </w:tcPr>
                <w:p w14:paraId="52A829E5">
                  <w:pPr>
                    <w:spacing w:before="20"/>
                    <w:ind w:right="15"/>
                    <w:jc w:val="center"/>
                    <w:rPr>
                      <w:b/>
                      <w:bCs/>
                      <w:color w:val="auto"/>
                      <w:highlight w:val="none"/>
                    </w:rPr>
                  </w:pPr>
                  <w:r>
                    <w:rPr>
                      <w:b/>
                      <w:bCs/>
                      <w:color w:val="auto"/>
                      <w:spacing w:val="20"/>
                      <w:szCs w:val="21"/>
                      <w:highlight w:val="none"/>
                    </w:rPr>
                    <w:t>产品</w:t>
                  </w:r>
                </w:p>
              </w:tc>
              <w:tc>
                <w:tcPr>
                  <w:tcW w:w="2003" w:type="dxa"/>
                  <w:shd w:val="clear" w:color="auto" w:fill="auto"/>
                  <w:vAlign w:val="center"/>
                </w:tcPr>
                <w:p w14:paraId="22CD4448">
                  <w:pPr>
                    <w:spacing w:before="20"/>
                    <w:ind w:right="15"/>
                    <w:jc w:val="center"/>
                    <w:rPr>
                      <w:b/>
                      <w:bCs/>
                      <w:color w:val="auto"/>
                      <w:highlight w:val="none"/>
                    </w:rPr>
                  </w:pPr>
                  <w:r>
                    <w:rPr>
                      <w:b/>
                      <w:bCs/>
                      <w:color w:val="auto"/>
                      <w:spacing w:val="20"/>
                      <w:szCs w:val="21"/>
                      <w:highlight w:val="none"/>
                    </w:rPr>
                    <w:t>年产量</w:t>
                  </w:r>
                </w:p>
              </w:tc>
              <w:tc>
                <w:tcPr>
                  <w:tcW w:w="2003" w:type="dxa"/>
                  <w:shd w:val="clear" w:color="auto" w:fill="auto"/>
                  <w:vAlign w:val="center"/>
                </w:tcPr>
                <w:p w14:paraId="68DCB971">
                  <w:pPr>
                    <w:spacing w:before="20"/>
                    <w:ind w:right="15"/>
                    <w:jc w:val="center"/>
                    <w:rPr>
                      <w:rFonts w:hint="eastAsia"/>
                      <w:b/>
                      <w:bCs/>
                      <w:color w:val="auto"/>
                      <w:spacing w:val="20"/>
                      <w:szCs w:val="21"/>
                      <w:highlight w:val="none"/>
                    </w:rPr>
                  </w:pPr>
                  <w:r>
                    <w:rPr>
                      <w:rFonts w:hint="eastAsia"/>
                      <w:b/>
                      <w:bCs/>
                      <w:color w:val="auto"/>
                      <w:spacing w:val="20"/>
                      <w:szCs w:val="21"/>
                      <w:highlight w:val="none"/>
                    </w:rPr>
                    <w:t>备注</w:t>
                  </w:r>
                </w:p>
              </w:tc>
            </w:tr>
            <w:tr w14:paraId="03E3A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52" w:type="dxa"/>
                  <w:shd w:val="clear" w:color="auto" w:fill="auto"/>
                  <w:vAlign w:val="center"/>
                </w:tcPr>
                <w:p w14:paraId="23541A9F">
                  <w:pPr>
                    <w:spacing w:line="440" w:lineRule="exact"/>
                    <w:jc w:val="center"/>
                    <w:rPr>
                      <w:color w:val="auto"/>
                      <w:szCs w:val="21"/>
                      <w:highlight w:val="none"/>
                    </w:rPr>
                  </w:pPr>
                  <w:r>
                    <w:rPr>
                      <w:color w:val="auto"/>
                      <w:szCs w:val="21"/>
                      <w:highlight w:val="none"/>
                    </w:rPr>
                    <w:t>1</w:t>
                  </w:r>
                </w:p>
              </w:tc>
              <w:tc>
                <w:tcPr>
                  <w:tcW w:w="2971" w:type="dxa"/>
                  <w:shd w:val="clear" w:color="auto" w:fill="auto"/>
                  <w:vAlign w:val="center"/>
                </w:tcPr>
                <w:p w14:paraId="0D5E15B0">
                  <w:pPr>
                    <w:spacing w:line="440" w:lineRule="exact"/>
                    <w:jc w:val="center"/>
                    <w:rPr>
                      <w:rFonts w:hint="default" w:eastAsia="宋体"/>
                      <w:color w:val="auto"/>
                      <w:szCs w:val="21"/>
                      <w:highlight w:val="none"/>
                      <w:lang w:val="en-US" w:eastAsia="zh-CN"/>
                    </w:rPr>
                  </w:pPr>
                  <w:r>
                    <w:rPr>
                      <w:rFonts w:hint="eastAsia"/>
                      <w:color w:val="auto"/>
                      <w:szCs w:val="21"/>
                      <w:highlight w:val="none"/>
                      <w:lang w:val="en-US" w:eastAsia="zh-CN"/>
                    </w:rPr>
                    <w:t>塑料配件</w:t>
                  </w:r>
                </w:p>
              </w:tc>
              <w:tc>
                <w:tcPr>
                  <w:tcW w:w="2003" w:type="dxa"/>
                  <w:shd w:val="clear" w:color="auto" w:fill="auto"/>
                  <w:vAlign w:val="center"/>
                </w:tcPr>
                <w:p w14:paraId="6A0C8EE8">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100万套</w:t>
                  </w:r>
                </w:p>
              </w:tc>
              <w:tc>
                <w:tcPr>
                  <w:tcW w:w="2003" w:type="dxa"/>
                  <w:shd w:val="clear" w:color="auto" w:fill="auto"/>
                  <w:vAlign w:val="center"/>
                </w:tcPr>
                <w:p w14:paraId="3A98ED09">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r>
          </w:tbl>
          <w:p w14:paraId="184A9842">
            <w:pPr>
              <w:adjustRightInd w:val="0"/>
              <w:snapToGrid w:val="0"/>
              <w:spacing w:line="360" w:lineRule="auto"/>
              <w:ind w:firstLine="482" w:firstLineChars="200"/>
              <w:rPr>
                <w:b/>
                <w:color w:val="auto"/>
                <w:sz w:val="24"/>
                <w:highlight w:val="none"/>
              </w:rPr>
            </w:pPr>
            <w:r>
              <w:rPr>
                <w:rFonts w:hint="eastAsia"/>
                <w:b/>
                <w:color w:val="auto"/>
                <w:sz w:val="24"/>
                <w:highlight w:val="none"/>
              </w:rPr>
              <w:t>3、</w:t>
            </w:r>
            <w:r>
              <w:rPr>
                <w:b/>
                <w:color w:val="auto"/>
                <w:sz w:val="24"/>
                <w:highlight w:val="none"/>
              </w:rPr>
              <w:t>主要原辅材料及年消耗量</w:t>
            </w:r>
          </w:p>
          <w:p w14:paraId="5B25D39C">
            <w:pPr>
              <w:pStyle w:val="95"/>
              <w:spacing w:before="120"/>
              <w:rPr>
                <w:b/>
                <w:color w:val="auto"/>
                <w:kern w:val="2"/>
                <w:sz w:val="21"/>
                <w:highlight w:val="none"/>
              </w:rPr>
            </w:pPr>
            <w:r>
              <w:rPr>
                <w:b/>
                <w:color w:val="auto"/>
                <w:kern w:val="2"/>
                <w:sz w:val="21"/>
                <w:highlight w:val="none"/>
              </w:rPr>
              <w:t>主要原辅材料消耗一览表</w:t>
            </w:r>
          </w:p>
          <w:tbl>
            <w:tblPr>
              <w:tblStyle w:val="35"/>
              <w:tblW w:w="50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69"/>
              <w:gridCol w:w="1314"/>
              <w:gridCol w:w="953"/>
              <w:gridCol w:w="1095"/>
              <w:gridCol w:w="1412"/>
              <w:gridCol w:w="1032"/>
              <w:gridCol w:w="964"/>
              <w:gridCol w:w="695"/>
              <w:gridCol w:w="918"/>
            </w:tblGrid>
            <w:tr w14:paraId="226B1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38" w:hRule="atLeast"/>
                <w:tblHeader/>
                <w:jc w:val="center"/>
              </w:trPr>
              <w:tc>
                <w:tcPr>
                  <w:tcW w:w="268" w:type="pct"/>
                  <w:shd w:val="clear" w:color="auto" w:fill="auto"/>
                  <w:vAlign w:val="center"/>
                </w:tcPr>
                <w:p w14:paraId="4C6E75AE">
                  <w:pPr>
                    <w:adjustRightInd w:val="0"/>
                    <w:snapToGrid w:val="0"/>
                    <w:jc w:val="center"/>
                    <w:rPr>
                      <w:b/>
                      <w:color w:val="auto"/>
                      <w:szCs w:val="21"/>
                      <w:highlight w:val="none"/>
                    </w:rPr>
                  </w:pPr>
                  <w:r>
                    <w:rPr>
                      <w:b/>
                      <w:color w:val="auto"/>
                      <w:szCs w:val="21"/>
                      <w:highlight w:val="none"/>
                    </w:rPr>
                    <w:t>序号</w:t>
                  </w:r>
                </w:p>
              </w:tc>
              <w:tc>
                <w:tcPr>
                  <w:tcW w:w="745" w:type="pct"/>
                  <w:shd w:val="clear" w:color="auto" w:fill="auto"/>
                  <w:vAlign w:val="center"/>
                </w:tcPr>
                <w:p w14:paraId="24C5DABE">
                  <w:pPr>
                    <w:adjustRightInd w:val="0"/>
                    <w:snapToGrid w:val="0"/>
                    <w:jc w:val="center"/>
                    <w:rPr>
                      <w:b/>
                      <w:color w:val="auto"/>
                      <w:szCs w:val="21"/>
                      <w:highlight w:val="none"/>
                    </w:rPr>
                  </w:pPr>
                  <w:r>
                    <w:rPr>
                      <w:b/>
                      <w:color w:val="auto"/>
                      <w:szCs w:val="21"/>
                      <w:highlight w:val="none"/>
                    </w:rPr>
                    <w:t>原材料</w:t>
                  </w:r>
                </w:p>
              </w:tc>
              <w:tc>
                <w:tcPr>
                  <w:tcW w:w="541" w:type="pct"/>
                  <w:shd w:val="clear" w:color="auto" w:fill="auto"/>
                  <w:vAlign w:val="center"/>
                </w:tcPr>
                <w:p w14:paraId="6A6A06B9">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状态</w:t>
                  </w:r>
                </w:p>
              </w:tc>
              <w:tc>
                <w:tcPr>
                  <w:tcW w:w="621" w:type="pct"/>
                  <w:shd w:val="clear" w:color="auto" w:fill="auto"/>
                  <w:vAlign w:val="center"/>
                </w:tcPr>
                <w:p w14:paraId="73DEA2CD">
                  <w:pPr>
                    <w:adjustRightInd w:val="0"/>
                    <w:snapToGrid w:val="0"/>
                    <w:jc w:val="center"/>
                    <w:rPr>
                      <w:rFonts w:hint="eastAsia"/>
                      <w:b/>
                      <w:color w:val="auto"/>
                      <w:szCs w:val="21"/>
                      <w:highlight w:val="none"/>
                    </w:rPr>
                  </w:pPr>
                  <w:r>
                    <w:rPr>
                      <w:b/>
                      <w:color w:val="auto"/>
                      <w:szCs w:val="21"/>
                      <w:highlight w:val="none"/>
                    </w:rPr>
                    <w:t>年用量</w:t>
                  </w:r>
                </w:p>
              </w:tc>
              <w:tc>
                <w:tcPr>
                  <w:tcW w:w="800" w:type="pct"/>
                  <w:shd w:val="clear" w:color="auto" w:fill="auto"/>
                  <w:vAlign w:val="center"/>
                </w:tcPr>
                <w:p w14:paraId="7009EA6B">
                  <w:pPr>
                    <w:adjustRightInd w:val="0"/>
                    <w:snapToGrid w:val="0"/>
                    <w:jc w:val="center"/>
                    <w:rPr>
                      <w:rFonts w:hint="eastAsia"/>
                      <w:b/>
                      <w:color w:val="auto"/>
                      <w:szCs w:val="21"/>
                      <w:highlight w:val="none"/>
                    </w:rPr>
                  </w:pPr>
                  <w:r>
                    <w:rPr>
                      <w:rFonts w:hint="eastAsia"/>
                      <w:b/>
                      <w:color w:val="auto"/>
                      <w:szCs w:val="21"/>
                      <w:highlight w:val="none"/>
                    </w:rPr>
                    <w:t>最大暂存量</w:t>
                  </w:r>
                </w:p>
              </w:tc>
              <w:tc>
                <w:tcPr>
                  <w:tcW w:w="585" w:type="pct"/>
                  <w:shd w:val="clear" w:color="auto" w:fill="auto"/>
                  <w:vAlign w:val="center"/>
                </w:tcPr>
                <w:p w14:paraId="6F1550A1">
                  <w:pPr>
                    <w:adjustRightInd w:val="0"/>
                    <w:snapToGrid w:val="0"/>
                    <w:jc w:val="center"/>
                    <w:rPr>
                      <w:rFonts w:hint="eastAsia"/>
                      <w:b/>
                      <w:color w:val="auto"/>
                      <w:szCs w:val="21"/>
                      <w:highlight w:val="none"/>
                    </w:rPr>
                  </w:pPr>
                  <w:r>
                    <w:rPr>
                      <w:rFonts w:hint="eastAsia"/>
                      <w:b/>
                      <w:color w:val="auto"/>
                      <w:szCs w:val="21"/>
                      <w:highlight w:val="none"/>
                    </w:rPr>
                    <w:t>包装规格</w:t>
                  </w:r>
                </w:p>
              </w:tc>
              <w:tc>
                <w:tcPr>
                  <w:tcW w:w="547" w:type="pct"/>
                  <w:shd w:val="clear" w:color="auto" w:fill="auto"/>
                  <w:vAlign w:val="center"/>
                </w:tcPr>
                <w:p w14:paraId="1C02740D">
                  <w:pPr>
                    <w:tabs>
                      <w:tab w:val="left" w:pos="210"/>
                    </w:tabs>
                    <w:adjustRightInd w:val="0"/>
                    <w:snapToGrid w:val="0"/>
                    <w:jc w:val="center"/>
                    <w:rPr>
                      <w:rFonts w:hint="eastAsia"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szCs w:val="21"/>
                      <w:highlight w:val="none"/>
                      <w:lang w:eastAsia="zh-CN"/>
                    </w:rPr>
                    <w:t>是否为风险物质</w:t>
                  </w:r>
                </w:p>
              </w:tc>
              <w:tc>
                <w:tcPr>
                  <w:tcW w:w="368" w:type="pct"/>
                  <w:shd w:val="clear" w:color="auto" w:fill="auto"/>
                  <w:vAlign w:val="center"/>
                </w:tcPr>
                <w:p w14:paraId="36405DD4">
                  <w:pPr>
                    <w:tabs>
                      <w:tab w:val="left" w:pos="210"/>
                    </w:tabs>
                    <w:adjustRightInd w:val="0"/>
                    <w:snapToGrid w:val="0"/>
                    <w:jc w:val="center"/>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szCs w:val="21"/>
                      <w:highlight w:val="none"/>
                      <w:lang w:val="en-US" w:eastAsia="zh-CN"/>
                    </w:rPr>
                    <w:t>临界量</w:t>
                  </w:r>
                </w:p>
              </w:tc>
              <w:tc>
                <w:tcPr>
                  <w:tcW w:w="521" w:type="pct"/>
                  <w:shd w:val="clear" w:color="auto" w:fill="auto"/>
                  <w:vAlign w:val="center"/>
                </w:tcPr>
                <w:p w14:paraId="06830E6A">
                  <w:pPr>
                    <w:adjustRightInd w:val="0"/>
                    <w:snapToGrid w:val="0"/>
                    <w:jc w:val="center"/>
                    <w:rPr>
                      <w:b/>
                      <w:color w:val="auto"/>
                      <w:szCs w:val="21"/>
                      <w:highlight w:val="none"/>
                    </w:rPr>
                  </w:pPr>
                  <w:r>
                    <w:rPr>
                      <w:b/>
                      <w:color w:val="auto"/>
                      <w:szCs w:val="21"/>
                      <w:highlight w:val="none"/>
                    </w:rPr>
                    <w:t>所在工序</w:t>
                  </w:r>
                </w:p>
              </w:tc>
            </w:tr>
            <w:tr w14:paraId="2A0D6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8" w:hRule="atLeast"/>
                <w:tblHeader/>
                <w:jc w:val="center"/>
              </w:trPr>
              <w:tc>
                <w:tcPr>
                  <w:tcW w:w="268" w:type="pct"/>
                  <w:shd w:val="clear" w:color="auto" w:fill="auto"/>
                  <w:vAlign w:val="center"/>
                </w:tcPr>
                <w:p w14:paraId="56F0B0F9">
                  <w:pPr>
                    <w:spacing w:line="440" w:lineRule="exact"/>
                    <w:jc w:val="center"/>
                    <w:rPr>
                      <w:color w:val="auto"/>
                      <w:szCs w:val="21"/>
                      <w:highlight w:val="none"/>
                    </w:rPr>
                  </w:pPr>
                  <w:r>
                    <w:rPr>
                      <w:color w:val="auto"/>
                      <w:szCs w:val="21"/>
                      <w:highlight w:val="none"/>
                    </w:rPr>
                    <w:t>1</w:t>
                  </w:r>
                </w:p>
              </w:tc>
              <w:tc>
                <w:tcPr>
                  <w:tcW w:w="745" w:type="pct"/>
                  <w:shd w:val="clear" w:color="auto" w:fill="auto"/>
                  <w:vAlign w:val="center"/>
                </w:tcPr>
                <w:p w14:paraId="09BCE859">
                  <w:pPr>
                    <w:adjustRightInd w:val="0"/>
                    <w:jc w:val="center"/>
                    <w:textAlignment w:val="baseline"/>
                    <w:rPr>
                      <w:rFonts w:hint="default" w:ascii="Times New Roman" w:hAnsi="Times New Roman" w:eastAsia="宋体" w:cs="Times New Roman"/>
                      <w:color w:val="auto"/>
                      <w:kern w:val="2"/>
                      <w:sz w:val="21"/>
                      <w:szCs w:val="21"/>
                      <w:lang w:val="en-US" w:eastAsia="zh-CN" w:bidi="ar-SA"/>
                    </w:rPr>
                  </w:pPr>
                  <w:r>
                    <w:rPr>
                      <w:color w:val="auto"/>
                      <w:szCs w:val="21"/>
                    </w:rPr>
                    <w:t>P</w:t>
                  </w:r>
                  <w:r>
                    <w:rPr>
                      <w:rFonts w:hint="eastAsia"/>
                      <w:color w:val="auto"/>
                      <w:szCs w:val="21"/>
                      <w:lang w:val="en-US" w:eastAsia="zh-CN"/>
                    </w:rPr>
                    <w:t>A</w:t>
                  </w:r>
                  <w:r>
                    <w:rPr>
                      <w:color w:val="auto"/>
                      <w:kern w:val="0"/>
                      <w:szCs w:val="21"/>
                    </w:rPr>
                    <w:t>塑料新料</w:t>
                  </w:r>
                </w:p>
              </w:tc>
              <w:tc>
                <w:tcPr>
                  <w:tcW w:w="541" w:type="pct"/>
                  <w:shd w:val="clear" w:color="auto" w:fill="auto"/>
                  <w:vAlign w:val="center"/>
                </w:tcPr>
                <w:p w14:paraId="5E2969AA">
                  <w:pPr>
                    <w:jc w:val="center"/>
                    <w:rPr>
                      <w:rFonts w:hint="default" w:ascii="Times New Roman" w:hAnsi="Times New Roman" w:eastAsia="宋体" w:cs="Times New Roman"/>
                      <w:color w:val="auto"/>
                      <w:kern w:val="2"/>
                      <w:sz w:val="21"/>
                      <w:szCs w:val="21"/>
                      <w:lang w:val="en-US" w:eastAsia="zh-CN" w:bidi="ar-SA"/>
                    </w:rPr>
                  </w:pPr>
                  <w:r>
                    <w:rPr>
                      <w:bCs/>
                      <w:color w:val="auto"/>
                      <w:szCs w:val="21"/>
                    </w:rPr>
                    <w:t>颗粒状</w:t>
                  </w:r>
                </w:p>
              </w:tc>
              <w:tc>
                <w:tcPr>
                  <w:tcW w:w="621" w:type="pct"/>
                  <w:shd w:val="clear" w:color="auto" w:fill="auto"/>
                  <w:vAlign w:val="center"/>
                </w:tcPr>
                <w:p w14:paraId="08804BFC">
                  <w:pPr>
                    <w:spacing w:line="44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20吨</w:t>
                  </w:r>
                </w:p>
              </w:tc>
              <w:tc>
                <w:tcPr>
                  <w:tcW w:w="800" w:type="pct"/>
                  <w:shd w:val="clear" w:color="auto" w:fill="auto"/>
                  <w:vAlign w:val="center"/>
                </w:tcPr>
                <w:p w14:paraId="023A6A63">
                  <w:pPr>
                    <w:spacing w:line="44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2吨</w:t>
                  </w:r>
                </w:p>
              </w:tc>
              <w:tc>
                <w:tcPr>
                  <w:tcW w:w="585" w:type="pct"/>
                  <w:shd w:val="clear" w:color="auto" w:fill="auto"/>
                  <w:vAlign w:val="center"/>
                </w:tcPr>
                <w:p w14:paraId="22126240">
                  <w:pPr>
                    <w:jc w:val="center"/>
                    <w:rPr>
                      <w:rFonts w:hint="default" w:ascii="Times New Roman" w:hAnsi="Times New Roman" w:eastAsia="宋体" w:cs="Times New Roman"/>
                      <w:color w:val="auto"/>
                      <w:kern w:val="0"/>
                      <w:sz w:val="21"/>
                      <w:szCs w:val="21"/>
                      <w:lang w:val="en-US" w:eastAsia="zh-CN" w:bidi="ar-SA"/>
                    </w:rPr>
                  </w:pPr>
                  <w:r>
                    <w:rPr>
                      <w:color w:val="auto"/>
                      <w:kern w:val="0"/>
                      <w:szCs w:val="21"/>
                    </w:rPr>
                    <w:t>25kg/袋</w:t>
                  </w:r>
                </w:p>
              </w:tc>
              <w:tc>
                <w:tcPr>
                  <w:tcW w:w="547" w:type="pct"/>
                  <w:shd w:val="clear" w:color="auto" w:fill="auto"/>
                  <w:vAlign w:val="center"/>
                </w:tcPr>
                <w:p w14:paraId="328479A5">
                  <w:pPr>
                    <w:keepNext w:val="0"/>
                    <w:keepLines w:val="0"/>
                    <w:pageBreakBefore w:val="0"/>
                    <w:kinsoku/>
                    <w:wordWrap/>
                    <w:overflowPunct/>
                    <w:topLinePunct w:val="0"/>
                    <w:autoSpaceDE/>
                    <w:autoSpaceDN/>
                    <w:bidi w:val="0"/>
                    <w:adjustRightInd/>
                    <w:snapToGrid/>
                    <w:ind w:right="0" w:right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pacing w:val="20"/>
                      <w:sz w:val="21"/>
                      <w:szCs w:val="21"/>
                      <w:highlight w:val="none"/>
                    </w:rPr>
                    <w:t>否</w:t>
                  </w:r>
                </w:p>
              </w:tc>
              <w:tc>
                <w:tcPr>
                  <w:tcW w:w="368" w:type="pct"/>
                  <w:shd w:val="clear" w:color="auto" w:fill="auto"/>
                  <w:vAlign w:val="center"/>
                </w:tcPr>
                <w:p w14:paraId="5AC54EF4">
                  <w:pPr>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w:t>
                  </w:r>
                </w:p>
              </w:tc>
              <w:tc>
                <w:tcPr>
                  <w:tcW w:w="521" w:type="pct"/>
                  <w:vMerge w:val="restart"/>
                  <w:shd w:val="clear" w:color="auto" w:fill="auto"/>
                  <w:vAlign w:val="center"/>
                </w:tcPr>
                <w:p w14:paraId="3EB1D2A6">
                  <w:pPr>
                    <w:spacing w:line="440" w:lineRule="exact"/>
                    <w:jc w:val="center"/>
                    <w:rPr>
                      <w:rFonts w:hint="eastAsia"/>
                      <w:color w:val="auto"/>
                      <w:kern w:val="0"/>
                      <w:szCs w:val="21"/>
                      <w:highlight w:val="none"/>
                    </w:rPr>
                  </w:pPr>
                  <w:r>
                    <w:rPr>
                      <w:rFonts w:hint="eastAsia"/>
                      <w:color w:val="auto"/>
                      <w:szCs w:val="21"/>
                      <w:highlight w:val="none"/>
                    </w:rPr>
                    <w:t>原材料</w:t>
                  </w:r>
                </w:p>
              </w:tc>
            </w:tr>
            <w:tr w14:paraId="44765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blHeader/>
                <w:jc w:val="center"/>
              </w:trPr>
              <w:tc>
                <w:tcPr>
                  <w:tcW w:w="268" w:type="pct"/>
                  <w:shd w:val="clear" w:color="auto" w:fill="auto"/>
                  <w:vAlign w:val="center"/>
                </w:tcPr>
                <w:p w14:paraId="7660A546">
                  <w:pPr>
                    <w:spacing w:line="440" w:lineRule="exact"/>
                    <w:jc w:val="center"/>
                    <w:rPr>
                      <w:color w:val="auto"/>
                      <w:szCs w:val="21"/>
                      <w:highlight w:val="none"/>
                    </w:rPr>
                  </w:pPr>
                  <w:r>
                    <w:rPr>
                      <w:color w:val="auto"/>
                      <w:szCs w:val="21"/>
                      <w:highlight w:val="none"/>
                    </w:rPr>
                    <w:t>2</w:t>
                  </w:r>
                </w:p>
              </w:tc>
              <w:tc>
                <w:tcPr>
                  <w:tcW w:w="745" w:type="pct"/>
                  <w:shd w:val="clear" w:color="auto" w:fill="auto"/>
                  <w:vAlign w:val="center"/>
                </w:tcPr>
                <w:p w14:paraId="7C8AF938">
                  <w:pPr>
                    <w:adjustRightInd w:val="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olor w:val="auto"/>
                      <w:szCs w:val="21"/>
                      <w:lang w:val="en-US" w:eastAsia="zh-CN"/>
                    </w:rPr>
                    <w:t>PC</w:t>
                  </w:r>
                  <w:r>
                    <w:rPr>
                      <w:color w:val="auto"/>
                      <w:kern w:val="0"/>
                      <w:szCs w:val="21"/>
                    </w:rPr>
                    <w:t>塑料新料</w:t>
                  </w:r>
                </w:p>
              </w:tc>
              <w:tc>
                <w:tcPr>
                  <w:tcW w:w="541" w:type="pct"/>
                  <w:shd w:val="clear" w:color="auto" w:fill="auto"/>
                  <w:vAlign w:val="center"/>
                </w:tcPr>
                <w:p w14:paraId="185793D3">
                  <w:pPr>
                    <w:jc w:val="center"/>
                    <w:rPr>
                      <w:rFonts w:hint="default" w:ascii="Times New Roman" w:hAnsi="Times New Roman" w:eastAsia="宋体" w:cs="Times New Roman"/>
                      <w:color w:val="auto"/>
                      <w:kern w:val="0"/>
                      <w:sz w:val="21"/>
                      <w:szCs w:val="21"/>
                      <w:lang w:val="en-US" w:eastAsia="zh-CN" w:bidi="ar-SA"/>
                    </w:rPr>
                  </w:pPr>
                  <w:r>
                    <w:rPr>
                      <w:bCs/>
                      <w:color w:val="auto"/>
                      <w:szCs w:val="21"/>
                    </w:rPr>
                    <w:t>颗粒状</w:t>
                  </w:r>
                </w:p>
              </w:tc>
              <w:tc>
                <w:tcPr>
                  <w:tcW w:w="621" w:type="pct"/>
                  <w:shd w:val="clear" w:color="auto" w:fill="auto"/>
                  <w:vAlign w:val="center"/>
                </w:tcPr>
                <w:p w14:paraId="6BA5DB0B">
                  <w:pPr>
                    <w:spacing w:line="440" w:lineRule="exact"/>
                    <w:jc w:val="center"/>
                    <w:rPr>
                      <w:rFonts w:hint="default"/>
                      <w:color w:val="auto"/>
                      <w:kern w:val="0"/>
                      <w:szCs w:val="21"/>
                      <w:highlight w:val="none"/>
                      <w:lang w:val="en-US"/>
                    </w:rPr>
                  </w:pPr>
                  <w:r>
                    <w:rPr>
                      <w:rFonts w:hint="eastAsia"/>
                      <w:color w:val="auto"/>
                      <w:szCs w:val="21"/>
                      <w:highlight w:val="none"/>
                      <w:lang w:val="en-US" w:eastAsia="zh-CN"/>
                    </w:rPr>
                    <w:t>20吨</w:t>
                  </w:r>
                </w:p>
              </w:tc>
              <w:tc>
                <w:tcPr>
                  <w:tcW w:w="800" w:type="pct"/>
                  <w:shd w:val="clear" w:color="auto" w:fill="auto"/>
                  <w:vAlign w:val="center"/>
                </w:tcPr>
                <w:p w14:paraId="6B86B084">
                  <w:pPr>
                    <w:spacing w:line="440" w:lineRule="exact"/>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szCs w:val="21"/>
                      <w:highlight w:val="none"/>
                      <w:lang w:val="en-US" w:eastAsia="zh-CN"/>
                    </w:rPr>
                    <w:t>1吨</w:t>
                  </w:r>
                </w:p>
              </w:tc>
              <w:tc>
                <w:tcPr>
                  <w:tcW w:w="585" w:type="pct"/>
                  <w:shd w:val="clear" w:color="auto" w:fill="auto"/>
                  <w:vAlign w:val="center"/>
                </w:tcPr>
                <w:p w14:paraId="1AF2A71E">
                  <w:pPr>
                    <w:jc w:val="center"/>
                    <w:rPr>
                      <w:rFonts w:hint="eastAsia" w:ascii="Times New Roman" w:hAnsi="Times New Roman" w:eastAsia="宋体" w:cs="Times New Roman"/>
                      <w:color w:val="auto"/>
                      <w:kern w:val="0"/>
                      <w:sz w:val="21"/>
                      <w:szCs w:val="21"/>
                      <w:lang w:val="en-US" w:eastAsia="zh-CN" w:bidi="ar-SA"/>
                    </w:rPr>
                  </w:pPr>
                  <w:r>
                    <w:rPr>
                      <w:color w:val="auto"/>
                      <w:kern w:val="0"/>
                      <w:szCs w:val="21"/>
                    </w:rPr>
                    <w:t>25kg/袋</w:t>
                  </w:r>
                </w:p>
              </w:tc>
              <w:tc>
                <w:tcPr>
                  <w:tcW w:w="547" w:type="pct"/>
                  <w:shd w:val="clear" w:color="auto" w:fill="auto"/>
                  <w:vAlign w:val="center"/>
                </w:tcPr>
                <w:p w14:paraId="51130F82">
                  <w:pPr>
                    <w:keepNext w:val="0"/>
                    <w:keepLines w:val="0"/>
                    <w:pageBreakBefore w:val="0"/>
                    <w:kinsoku/>
                    <w:wordWrap/>
                    <w:overflowPunct/>
                    <w:topLinePunct w:val="0"/>
                    <w:autoSpaceDE/>
                    <w:autoSpaceDN/>
                    <w:bidi w:val="0"/>
                    <w:adjustRightInd/>
                    <w:snapToGrid/>
                    <w:ind w:right="0" w:rightChars="0"/>
                    <w:jc w:val="center"/>
                    <w:textAlignment w:val="auto"/>
                    <w:rPr>
                      <w:color w:val="auto"/>
                      <w:kern w:val="0"/>
                      <w:szCs w:val="21"/>
                      <w:highlight w:val="none"/>
                    </w:rPr>
                  </w:pPr>
                  <w:r>
                    <w:rPr>
                      <w:rFonts w:hint="default" w:ascii="Times New Roman" w:hAnsi="Times New Roman" w:cs="Times New Roman"/>
                      <w:color w:val="auto"/>
                      <w:spacing w:val="20"/>
                      <w:sz w:val="21"/>
                      <w:szCs w:val="21"/>
                      <w:highlight w:val="none"/>
                    </w:rPr>
                    <w:t>否</w:t>
                  </w:r>
                </w:p>
              </w:tc>
              <w:tc>
                <w:tcPr>
                  <w:tcW w:w="368" w:type="pct"/>
                  <w:shd w:val="clear" w:color="auto" w:fill="auto"/>
                  <w:vAlign w:val="center"/>
                </w:tcPr>
                <w:p w14:paraId="5C5BCDCB">
                  <w:pPr>
                    <w:jc w:val="center"/>
                    <w:rPr>
                      <w:color w:val="auto"/>
                      <w:kern w:val="0"/>
                      <w:szCs w:val="21"/>
                      <w:highlight w:val="none"/>
                    </w:rPr>
                  </w:pPr>
                  <w:r>
                    <w:rPr>
                      <w:rFonts w:hint="eastAsia" w:ascii="Times New Roman" w:hAnsi="Times New Roman" w:eastAsia="宋体" w:cs="Times New Roman"/>
                      <w:color w:val="auto"/>
                      <w:kern w:val="0"/>
                      <w:szCs w:val="21"/>
                      <w:highlight w:val="none"/>
                      <w:lang w:val="en-US" w:eastAsia="zh-CN"/>
                    </w:rPr>
                    <w:t>/</w:t>
                  </w:r>
                </w:p>
              </w:tc>
              <w:tc>
                <w:tcPr>
                  <w:tcW w:w="521" w:type="pct"/>
                  <w:vMerge w:val="continue"/>
                  <w:shd w:val="clear" w:color="auto" w:fill="auto"/>
                  <w:vAlign w:val="center"/>
                </w:tcPr>
                <w:p w14:paraId="5FCF8086">
                  <w:pPr>
                    <w:spacing w:line="440" w:lineRule="exact"/>
                    <w:jc w:val="center"/>
                    <w:rPr>
                      <w:rFonts w:hint="eastAsia" w:eastAsia="宋体"/>
                      <w:color w:val="auto"/>
                      <w:kern w:val="0"/>
                      <w:szCs w:val="21"/>
                      <w:highlight w:val="none"/>
                      <w:lang w:val="en-US" w:eastAsia="zh-CN"/>
                    </w:rPr>
                  </w:pPr>
                </w:p>
              </w:tc>
            </w:tr>
            <w:tr w14:paraId="4CCFE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68" w:type="pct"/>
                  <w:shd w:val="clear" w:color="auto" w:fill="auto"/>
                  <w:vAlign w:val="center"/>
                </w:tcPr>
                <w:p w14:paraId="529A6B6C">
                  <w:pPr>
                    <w:spacing w:line="440" w:lineRule="exact"/>
                    <w:jc w:val="center"/>
                    <w:rPr>
                      <w:color w:val="auto"/>
                      <w:szCs w:val="21"/>
                      <w:highlight w:val="none"/>
                    </w:rPr>
                  </w:pPr>
                  <w:r>
                    <w:rPr>
                      <w:rFonts w:hint="eastAsia"/>
                      <w:color w:val="auto"/>
                      <w:szCs w:val="21"/>
                      <w:highlight w:val="none"/>
                    </w:rPr>
                    <w:t>3</w:t>
                  </w:r>
                </w:p>
              </w:tc>
              <w:tc>
                <w:tcPr>
                  <w:tcW w:w="745" w:type="pct"/>
                  <w:shd w:val="clear" w:color="auto" w:fill="auto"/>
                  <w:vAlign w:val="center"/>
                </w:tcPr>
                <w:p w14:paraId="543EDC4A">
                  <w:pPr>
                    <w:widowControl/>
                    <w:jc w:val="center"/>
                    <w:rPr>
                      <w:rFonts w:hint="default" w:ascii="Times New Roman" w:hAnsi="Times New Roman" w:eastAsia="宋体" w:cs="Times New Roman"/>
                      <w:color w:val="auto"/>
                      <w:kern w:val="2"/>
                      <w:sz w:val="21"/>
                      <w:szCs w:val="21"/>
                      <w:lang w:val="en-US" w:eastAsia="zh-CN" w:bidi="ar-SA"/>
                    </w:rPr>
                  </w:pPr>
                  <w:r>
                    <w:rPr>
                      <w:rFonts w:hint="eastAsia" w:eastAsia="宋体"/>
                      <w:color w:val="auto"/>
                      <w:szCs w:val="21"/>
                      <w:lang w:val="en-US" w:eastAsia="zh-CN"/>
                    </w:rPr>
                    <w:t>PVC线</w:t>
                  </w:r>
                </w:p>
              </w:tc>
              <w:tc>
                <w:tcPr>
                  <w:tcW w:w="541" w:type="pct"/>
                  <w:shd w:val="clear" w:color="auto" w:fill="auto"/>
                  <w:vAlign w:val="center"/>
                </w:tcPr>
                <w:p w14:paraId="57E1722B">
                  <w:pPr>
                    <w:spacing w:line="440" w:lineRule="exact"/>
                    <w:jc w:val="center"/>
                    <w:rPr>
                      <w:rFonts w:hint="default" w:eastAsia="宋体"/>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固态</w:t>
                  </w:r>
                </w:p>
              </w:tc>
              <w:tc>
                <w:tcPr>
                  <w:tcW w:w="621" w:type="pct"/>
                  <w:shd w:val="clear" w:color="auto" w:fill="auto"/>
                  <w:vAlign w:val="center"/>
                </w:tcPr>
                <w:p w14:paraId="526534DD">
                  <w:pPr>
                    <w:spacing w:line="44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10万米</w:t>
                  </w:r>
                </w:p>
              </w:tc>
              <w:tc>
                <w:tcPr>
                  <w:tcW w:w="800" w:type="pct"/>
                  <w:shd w:val="clear" w:color="auto" w:fill="auto"/>
                  <w:vAlign w:val="center"/>
                </w:tcPr>
                <w:p w14:paraId="1D315FE3">
                  <w:pPr>
                    <w:spacing w:line="440" w:lineRule="exact"/>
                    <w:jc w:val="center"/>
                    <w:rPr>
                      <w:rFonts w:hint="default"/>
                      <w:color w:val="auto"/>
                      <w:szCs w:val="21"/>
                      <w:highlight w:val="none"/>
                      <w:lang w:val="en-US"/>
                    </w:rPr>
                  </w:pPr>
                  <w:r>
                    <w:rPr>
                      <w:rFonts w:hint="eastAsia"/>
                      <w:color w:val="auto"/>
                      <w:kern w:val="0"/>
                      <w:szCs w:val="21"/>
                      <w:highlight w:val="none"/>
                      <w:lang w:val="en-US" w:eastAsia="zh-CN"/>
                    </w:rPr>
                    <w:t>1万米</w:t>
                  </w:r>
                </w:p>
              </w:tc>
              <w:tc>
                <w:tcPr>
                  <w:tcW w:w="585" w:type="pct"/>
                  <w:shd w:val="clear" w:color="auto" w:fill="auto"/>
                  <w:vAlign w:val="center"/>
                </w:tcPr>
                <w:p w14:paraId="04411D50">
                  <w:pPr>
                    <w:spacing w:line="440" w:lineRule="exact"/>
                    <w:jc w:val="center"/>
                    <w:rPr>
                      <w:rFonts w:hint="eastAsia"/>
                      <w:color w:val="auto"/>
                      <w:szCs w:val="21"/>
                      <w:highlight w:val="none"/>
                    </w:rPr>
                  </w:pPr>
                  <w:r>
                    <w:rPr>
                      <w:rFonts w:hint="eastAsia" w:cs="Times New Roman"/>
                      <w:color w:val="auto"/>
                      <w:kern w:val="0"/>
                      <w:szCs w:val="21"/>
                      <w:highlight w:val="none"/>
                      <w:lang w:val="en-US" w:eastAsia="zh-CN"/>
                    </w:rPr>
                    <w:t>/</w:t>
                  </w:r>
                </w:p>
              </w:tc>
              <w:tc>
                <w:tcPr>
                  <w:tcW w:w="547" w:type="pct"/>
                  <w:shd w:val="clear" w:color="auto" w:fill="auto"/>
                  <w:vAlign w:val="center"/>
                </w:tcPr>
                <w:p w14:paraId="1DF9990D">
                  <w:pPr>
                    <w:keepNext w:val="0"/>
                    <w:keepLines w:val="0"/>
                    <w:pageBreakBefore w:val="0"/>
                    <w:kinsoku/>
                    <w:wordWrap/>
                    <w:overflowPunct/>
                    <w:topLinePunct w:val="0"/>
                    <w:autoSpaceDE/>
                    <w:autoSpaceDN/>
                    <w:bidi w:val="0"/>
                    <w:adjustRightInd/>
                    <w:snapToGrid/>
                    <w:ind w:right="0" w:rightChars="0"/>
                    <w:jc w:val="center"/>
                    <w:textAlignment w:val="auto"/>
                    <w:rPr>
                      <w:color w:val="auto"/>
                      <w:kern w:val="0"/>
                      <w:szCs w:val="21"/>
                      <w:highlight w:val="none"/>
                    </w:rPr>
                  </w:pPr>
                  <w:r>
                    <w:rPr>
                      <w:rFonts w:hint="default" w:ascii="Times New Roman" w:hAnsi="Times New Roman" w:cs="Times New Roman"/>
                      <w:color w:val="auto"/>
                      <w:spacing w:val="20"/>
                      <w:sz w:val="21"/>
                      <w:szCs w:val="21"/>
                      <w:highlight w:val="none"/>
                    </w:rPr>
                    <w:t>否</w:t>
                  </w:r>
                </w:p>
              </w:tc>
              <w:tc>
                <w:tcPr>
                  <w:tcW w:w="368" w:type="pct"/>
                  <w:shd w:val="clear" w:color="auto" w:fill="auto"/>
                  <w:vAlign w:val="center"/>
                </w:tcPr>
                <w:p w14:paraId="5CAAD52F">
                  <w:pPr>
                    <w:jc w:val="center"/>
                    <w:rPr>
                      <w:color w:val="auto"/>
                      <w:kern w:val="0"/>
                      <w:szCs w:val="21"/>
                      <w:highlight w:val="none"/>
                    </w:rPr>
                  </w:pPr>
                  <w:r>
                    <w:rPr>
                      <w:rFonts w:hint="eastAsia" w:ascii="Times New Roman" w:hAnsi="Times New Roman" w:eastAsia="宋体" w:cs="Times New Roman"/>
                      <w:color w:val="auto"/>
                      <w:kern w:val="0"/>
                      <w:szCs w:val="21"/>
                      <w:highlight w:val="none"/>
                      <w:lang w:val="en-US" w:eastAsia="zh-CN"/>
                    </w:rPr>
                    <w:t>/</w:t>
                  </w:r>
                </w:p>
              </w:tc>
              <w:tc>
                <w:tcPr>
                  <w:tcW w:w="521" w:type="pct"/>
                  <w:vMerge w:val="continue"/>
                  <w:shd w:val="clear" w:color="auto" w:fill="auto"/>
                  <w:vAlign w:val="center"/>
                </w:tcPr>
                <w:p w14:paraId="037848A2">
                  <w:pPr>
                    <w:spacing w:line="440" w:lineRule="exact"/>
                    <w:jc w:val="center"/>
                    <w:rPr>
                      <w:rFonts w:hint="eastAsia" w:eastAsia="宋体"/>
                      <w:color w:val="auto"/>
                      <w:kern w:val="0"/>
                      <w:szCs w:val="21"/>
                      <w:highlight w:val="none"/>
                      <w:lang w:val="en-US" w:eastAsia="zh-CN"/>
                    </w:rPr>
                  </w:pPr>
                </w:p>
              </w:tc>
            </w:tr>
            <w:tr w14:paraId="3F38E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blHeader/>
                <w:jc w:val="center"/>
              </w:trPr>
              <w:tc>
                <w:tcPr>
                  <w:tcW w:w="268" w:type="pct"/>
                  <w:shd w:val="clear" w:color="auto" w:fill="auto"/>
                  <w:vAlign w:val="center"/>
                </w:tcPr>
                <w:p w14:paraId="0E95C84C">
                  <w:pPr>
                    <w:spacing w:line="440" w:lineRule="exact"/>
                    <w:jc w:val="center"/>
                    <w:rPr>
                      <w:color w:val="auto"/>
                      <w:szCs w:val="21"/>
                      <w:highlight w:val="none"/>
                    </w:rPr>
                  </w:pPr>
                  <w:r>
                    <w:rPr>
                      <w:rFonts w:hint="eastAsia"/>
                      <w:color w:val="auto"/>
                      <w:szCs w:val="21"/>
                      <w:highlight w:val="none"/>
                    </w:rPr>
                    <w:t>4</w:t>
                  </w:r>
                </w:p>
              </w:tc>
              <w:tc>
                <w:tcPr>
                  <w:tcW w:w="745" w:type="pct"/>
                  <w:shd w:val="clear" w:color="auto" w:fill="auto"/>
                  <w:vAlign w:val="center"/>
                </w:tcPr>
                <w:p w14:paraId="1325525B">
                  <w:pPr>
                    <w:spacing w:line="44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端子</w:t>
                  </w:r>
                </w:p>
              </w:tc>
              <w:tc>
                <w:tcPr>
                  <w:tcW w:w="541" w:type="pct"/>
                  <w:shd w:val="clear" w:color="auto" w:fill="auto"/>
                  <w:vAlign w:val="center"/>
                </w:tcPr>
                <w:p w14:paraId="640F987A">
                  <w:pPr>
                    <w:spacing w:line="440" w:lineRule="exact"/>
                    <w:jc w:val="center"/>
                    <w:rPr>
                      <w:rFonts w:hint="default" w:eastAsia="宋体"/>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固态</w:t>
                  </w:r>
                </w:p>
              </w:tc>
              <w:tc>
                <w:tcPr>
                  <w:tcW w:w="621" w:type="pct"/>
                  <w:shd w:val="clear" w:color="auto" w:fill="auto"/>
                  <w:vAlign w:val="center"/>
                </w:tcPr>
                <w:p w14:paraId="78888877">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eastAsia="宋体"/>
                      <w:color w:val="auto"/>
                      <w:szCs w:val="21"/>
                      <w:lang w:val="en-US" w:eastAsia="zh-CN"/>
                    </w:rPr>
                    <w:t>100万套</w:t>
                  </w:r>
                </w:p>
              </w:tc>
              <w:tc>
                <w:tcPr>
                  <w:tcW w:w="800" w:type="pct"/>
                  <w:shd w:val="clear" w:color="auto" w:fill="auto"/>
                  <w:vAlign w:val="center"/>
                </w:tcPr>
                <w:p w14:paraId="321C7D7A">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eastAsia" w:eastAsia="宋体"/>
                      <w:color w:val="auto"/>
                      <w:szCs w:val="21"/>
                      <w:lang w:val="en-US" w:eastAsia="zh-CN"/>
                    </w:rPr>
                    <w:t>10万套</w:t>
                  </w:r>
                </w:p>
              </w:tc>
              <w:tc>
                <w:tcPr>
                  <w:tcW w:w="585" w:type="pct"/>
                  <w:shd w:val="clear" w:color="auto" w:fill="auto"/>
                  <w:vAlign w:val="center"/>
                </w:tcPr>
                <w:p w14:paraId="5195FA08">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val="en-US" w:eastAsia="zh-CN"/>
                    </w:rPr>
                    <w:t>/</w:t>
                  </w:r>
                </w:p>
              </w:tc>
              <w:tc>
                <w:tcPr>
                  <w:tcW w:w="547" w:type="pct"/>
                  <w:shd w:val="clear" w:color="auto" w:fill="auto"/>
                  <w:vAlign w:val="center"/>
                </w:tcPr>
                <w:p w14:paraId="6C18B1E8">
                  <w:pPr>
                    <w:keepNext w:val="0"/>
                    <w:keepLines w:val="0"/>
                    <w:pageBreakBefore w:val="0"/>
                    <w:kinsoku/>
                    <w:wordWrap/>
                    <w:overflowPunct/>
                    <w:topLinePunct w:val="0"/>
                    <w:autoSpaceDE/>
                    <w:autoSpaceDN/>
                    <w:bidi w:val="0"/>
                    <w:adjustRightInd/>
                    <w:snapToGrid/>
                    <w:ind w:right="0" w:right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pacing w:val="20"/>
                      <w:sz w:val="21"/>
                      <w:szCs w:val="21"/>
                      <w:highlight w:val="none"/>
                    </w:rPr>
                    <w:t>否</w:t>
                  </w:r>
                </w:p>
              </w:tc>
              <w:tc>
                <w:tcPr>
                  <w:tcW w:w="368" w:type="pct"/>
                  <w:shd w:val="clear" w:color="auto" w:fill="auto"/>
                  <w:vAlign w:val="center"/>
                </w:tcPr>
                <w:p w14:paraId="41D84215">
                  <w:pPr>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w:t>
                  </w:r>
                </w:p>
              </w:tc>
              <w:tc>
                <w:tcPr>
                  <w:tcW w:w="521" w:type="pct"/>
                  <w:shd w:val="clear" w:color="auto" w:fill="auto"/>
                  <w:vAlign w:val="center"/>
                </w:tcPr>
                <w:p w14:paraId="6949A407">
                  <w:pPr>
                    <w:spacing w:line="440" w:lineRule="exact"/>
                    <w:jc w:val="center"/>
                    <w:rPr>
                      <w:rFonts w:hint="eastAsia" w:eastAsia="宋体"/>
                      <w:color w:val="auto"/>
                      <w:kern w:val="0"/>
                      <w:szCs w:val="21"/>
                      <w:highlight w:val="none"/>
                      <w:lang w:val="en-US" w:eastAsia="zh-CN"/>
                    </w:rPr>
                  </w:pPr>
                  <w:r>
                    <w:rPr>
                      <w:rFonts w:hint="eastAsia"/>
                      <w:color w:val="auto"/>
                      <w:szCs w:val="21"/>
                      <w:highlight w:val="none"/>
                      <w:lang w:val="en-US" w:eastAsia="zh-CN"/>
                    </w:rPr>
                    <w:t>原材料</w:t>
                  </w:r>
                </w:p>
              </w:tc>
            </w:tr>
            <w:tr w14:paraId="0B478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blHeader/>
                <w:jc w:val="center"/>
              </w:trPr>
              <w:tc>
                <w:tcPr>
                  <w:tcW w:w="268" w:type="pct"/>
                  <w:shd w:val="clear" w:color="auto" w:fill="auto"/>
                  <w:vAlign w:val="center"/>
                </w:tcPr>
                <w:p w14:paraId="1561856F">
                  <w:pPr>
                    <w:spacing w:line="440" w:lineRule="exact"/>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745" w:type="pct"/>
                  <w:shd w:val="clear" w:color="auto" w:fill="auto"/>
                  <w:vAlign w:val="center"/>
                </w:tcPr>
                <w:p w14:paraId="48A6358B">
                  <w:pPr>
                    <w:spacing w:line="440" w:lineRule="exact"/>
                    <w:jc w:val="center"/>
                    <w:rPr>
                      <w:rFonts w:hint="default"/>
                      <w:color w:val="auto"/>
                      <w:szCs w:val="21"/>
                      <w:lang w:val="en-US" w:eastAsia="zh-CN"/>
                    </w:rPr>
                  </w:pPr>
                  <w:r>
                    <w:rPr>
                      <w:rFonts w:hint="default" w:ascii="Times New Roman" w:hAnsi="Times New Roman" w:eastAsia="宋体" w:cs="Times New Roman"/>
                      <w:color w:val="auto"/>
                      <w:szCs w:val="21"/>
                      <w:highlight w:val="none"/>
                      <w:lang w:val="en-US" w:eastAsia="zh-CN"/>
                    </w:rPr>
                    <w:t>环氧树脂AB胶</w:t>
                  </w:r>
                </w:p>
              </w:tc>
              <w:tc>
                <w:tcPr>
                  <w:tcW w:w="541" w:type="pct"/>
                  <w:shd w:val="clear" w:color="auto" w:fill="auto"/>
                  <w:vAlign w:val="center"/>
                </w:tcPr>
                <w:p w14:paraId="20FB16E3">
                  <w:pPr>
                    <w:spacing w:line="44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液态</w:t>
                  </w:r>
                </w:p>
              </w:tc>
              <w:tc>
                <w:tcPr>
                  <w:tcW w:w="621" w:type="pct"/>
                  <w:shd w:val="clear" w:color="auto" w:fill="auto"/>
                  <w:vAlign w:val="center"/>
                </w:tcPr>
                <w:p w14:paraId="2D36FBA7">
                  <w:pPr>
                    <w:spacing w:line="4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0.15吨</w:t>
                  </w:r>
                </w:p>
              </w:tc>
              <w:tc>
                <w:tcPr>
                  <w:tcW w:w="800" w:type="pct"/>
                  <w:shd w:val="clear" w:color="auto" w:fill="auto"/>
                  <w:vAlign w:val="center"/>
                </w:tcPr>
                <w:p w14:paraId="122522B6">
                  <w:pPr>
                    <w:spacing w:line="4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0.01吨</w:t>
                  </w:r>
                </w:p>
              </w:tc>
              <w:tc>
                <w:tcPr>
                  <w:tcW w:w="585" w:type="pct"/>
                  <w:shd w:val="clear" w:color="auto" w:fill="auto"/>
                  <w:vAlign w:val="center"/>
                </w:tcPr>
                <w:p w14:paraId="72AC5983">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szCs w:val="21"/>
                      <w:highlight w:val="none"/>
                      <w:lang w:val="en-US" w:eastAsia="zh-CN"/>
                    </w:rPr>
                    <w:t>25kg/桶</w:t>
                  </w:r>
                </w:p>
              </w:tc>
              <w:tc>
                <w:tcPr>
                  <w:tcW w:w="547" w:type="pct"/>
                  <w:shd w:val="clear" w:color="auto" w:fill="auto"/>
                  <w:vAlign w:val="center"/>
                </w:tcPr>
                <w:p w14:paraId="6EE60AB7">
                  <w:pPr>
                    <w:spacing w:line="440" w:lineRule="exact"/>
                    <w:jc w:val="center"/>
                    <w:rPr>
                      <w:rFonts w:hint="default"/>
                      <w:color w:val="auto"/>
                      <w:szCs w:val="21"/>
                      <w:highlight w:val="none"/>
                      <w:lang w:val="en-US" w:eastAsia="zh-CN"/>
                    </w:rPr>
                  </w:pPr>
                  <w:r>
                    <w:rPr>
                      <w:rFonts w:hint="eastAsia"/>
                      <w:color w:val="auto"/>
                      <w:szCs w:val="21"/>
                      <w:highlight w:val="none"/>
                      <w:lang w:val="en-US" w:eastAsia="zh-CN"/>
                    </w:rPr>
                    <w:t>否</w:t>
                  </w:r>
                </w:p>
              </w:tc>
              <w:tc>
                <w:tcPr>
                  <w:tcW w:w="368" w:type="pct"/>
                  <w:shd w:val="clear" w:color="auto" w:fill="auto"/>
                  <w:vAlign w:val="center"/>
                </w:tcPr>
                <w:p w14:paraId="2E67DB44">
                  <w:pPr>
                    <w:spacing w:line="440" w:lineRule="exact"/>
                    <w:jc w:val="center"/>
                    <w:rPr>
                      <w:rFonts w:hint="default"/>
                      <w:color w:val="auto"/>
                      <w:szCs w:val="21"/>
                      <w:highlight w:val="none"/>
                      <w:lang w:val="en-US" w:eastAsia="zh-CN"/>
                    </w:rPr>
                  </w:pPr>
                  <w:r>
                    <w:rPr>
                      <w:rFonts w:hint="eastAsia" w:ascii="Times New Roman" w:hAnsi="Times New Roman" w:eastAsia="宋体" w:cs="Times New Roman"/>
                      <w:color w:val="auto"/>
                      <w:kern w:val="0"/>
                      <w:szCs w:val="21"/>
                      <w:highlight w:val="none"/>
                      <w:lang w:val="en-US" w:eastAsia="zh-CN"/>
                    </w:rPr>
                    <w:t>/</w:t>
                  </w:r>
                </w:p>
              </w:tc>
              <w:tc>
                <w:tcPr>
                  <w:tcW w:w="521" w:type="pct"/>
                  <w:shd w:val="clear" w:color="auto" w:fill="auto"/>
                  <w:vAlign w:val="center"/>
                </w:tcPr>
                <w:p w14:paraId="56A63EDA">
                  <w:pPr>
                    <w:spacing w:line="44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点胶</w:t>
                  </w:r>
                </w:p>
              </w:tc>
            </w:tr>
            <w:tr w14:paraId="2E870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blHeader/>
                <w:jc w:val="center"/>
              </w:trPr>
              <w:tc>
                <w:tcPr>
                  <w:tcW w:w="268" w:type="pct"/>
                  <w:shd w:val="clear" w:color="auto" w:fill="auto"/>
                  <w:vAlign w:val="center"/>
                </w:tcPr>
                <w:p w14:paraId="2FD3AADC">
                  <w:pPr>
                    <w:spacing w:line="440" w:lineRule="exact"/>
                    <w:jc w:val="center"/>
                    <w:rPr>
                      <w:rFonts w:hint="eastAsia" w:eastAsia="宋体"/>
                      <w:color w:val="auto"/>
                      <w:szCs w:val="21"/>
                      <w:highlight w:val="none"/>
                      <w:lang w:val="en-US" w:eastAsia="zh-CN"/>
                    </w:rPr>
                  </w:pPr>
                  <w:r>
                    <w:rPr>
                      <w:rFonts w:hint="eastAsia"/>
                      <w:color w:val="auto"/>
                      <w:szCs w:val="21"/>
                      <w:highlight w:val="none"/>
                      <w:lang w:val="en-US" w:eastAsia="zh-CN"/>
                    </w:rPr>
                    <w:t>6</w:t>
                  </w:r>
                </w:p>
              </w:tc>
              <w:tc>
                <w:tcPr>
                  <w:tcW w:w="745" w:type="pct"/>
                  <w:shd w:val="clear" w:color="auto" w:fill="auto"/>
                  <w:vAlign w:val="center"/>
                </w:tcPr>
                <w:p w14:paraId="4DD618F3">
                  <w:pPr>
                    <w:adjustRightInd w:val="0"/>
                    <w:jc w:val="center"/>
                    <w:textAlignment w:val="baseline"/>
                    <w:rPr>
                      <w:rFonts w:hint="default" w:ascii="Times New Roman" w:hAnsi="Times New Roman" w:eastAsia="宋体" w:cs="Times New Roman"/>
                      <w:color w:val="auto"/>
                      <w:kern w:val="2"/>
                      <w:sz w:val="21"/>
                      <w:szCs w:val="21"/>
                      <w:lang w:val="en-US" w:eastAsia="zh-CN" w:bidi="ar-SA"/>
                    </w:rPr>
                  </w:pPr>
                  <w:r>
                    <w:rPr>
                      <w:color w:val="auto"/>
                      <w:szCs w:val="21"/>
                    </w:rPr>
                    <w:t>色粉</w:t>
                  </w:r>
                </w:p>
              </w:tc>
              <w:tc>
                <w:tcPr>
                  <w:tcW w:w="541" w:type="pct"/>
                  <w:shd w:val="clear" w:color="auto" w:fill="auto"/>
                  <w:vAlign w:val="center"/>
                </w:tcPr>
                <w:p w14:paraId="308F62F0">
                  <w:pPr>
                    <w:jc w:val="center"/>
                    <w:rPr>
                      <w:rFonts w:hint="eastAsia" w:ascii="Times New Roman" w:hAnsi="Times New Roman" w:eastAsia="宋体" w:cs="Times New Roman"/>
                      <w:bCs/>
                      <w:color w:val="auto"/>
                      <w:kern w:val="2"/>
                      <w:sz w:val="21"/>
                      <w:szCs w:val="21"/>
                      <w:lang w:val="en-US" w:eastAsia="zh-CN" w:bidi="ar-SA"/>
                    </w:rPr>
                  </w:pPr>
                  <w:r>
                    <w:rPr>
                      <w:color w:val="auto"/>
                      <w:kern w:val="0"/>
                      <w:szCs w:val="21"/>
                    </w:rPr>
                    <w:t>粉状</w:t>
                  </w:r>
                </w:p>
              </w:tc>
              <w:tc>
                <w:tcPr>
                  <w:tcW w:w="621" w:type="pct"/>
                  <w:shd w:val="clear" w:color="auto" w:fill="auto"/>
                  <w:vAlign w:val="center"/>
                </w:tcPr>
                <w:p w14:paraId="03A28AFF">
                  <w:pPr>
                    <w:widowControl/>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0.5</w:t>
                  </w:r>
                  <w:r>
                    <w:rPr>
                      <w:rFonts w:hint="eastAsia" w:ascii="Times New Roman" w:hAnsi="Times New Roman" w:eastAsia="宋体" w:cs="Times New Roman"/>
                      <w:color w:val="auto"/>
                      <w:szCs w:val="21"/>
                      <w:highlight w:val="none"/>
                      <w:lang w:val="en-US" w:eastAsia="zh-CN"/>
                    </w:rPr>
                    <w:t>吨</w:t>
                  </w:r>
                </w:p>
              </w:tc>
              <w:tc>
                <w:tcPr>
                  <w:tcW w:w="800" w:type="pct"/>
                  <w:shd w:val="clear" w:color="auto" w:fill="auto"/>
                  <w:vAlign w:val="center"/>
                </w:tcPr>
                <w:p w14:paraId="788DFECB">
                  <w:pPr>
                    <w:jc w:val="center"/>
                    <w:rPr>
                      <w:rFonts w:hint="default" w:ascii="Times New Roman" w:hAnsi="Times New Roman" w:eastAsia="宋体" w:cs="Times New Roman"/>
                      <w:color w:val="auto"/>
                      <w:kern w:val="0"/>
                      <w:sz w:val="21"/>
                      <w:szCs w:val="21"/>
                      <w:lang w:val="en-US" w:eastAsia="zh-CN" w:bidi="ar-SA"/>
                    </w:rPr>
                  </w:pPr>
                  <w:r>
                    <w:rPr>
                      <w:color w:val="auto"/>
                      <w:szCs w:val="21"/>
                    </w:rPr>
                    <w:t>0.</w:t>
                  </w:r>
                  <w:r>
                    <w:rPr>
                      <w:rFonts w:hint="eastAsia"/>
                      <w:color w:val="auto"/>
                      <w:szCs w:val="21"/>
                      <w:lang w:val="en-US" w:eastAsia="zh-CN"/>
                    </w:rPr>
                    <w:t>1</w:t>
                  </w:r>
                  <w:r>
                    <w:rPr>
                      <w:rFonts w:hint="eastAsia" w:ascii="Times New Roman" w:hAnsi="Times New Roman" w:eastAsia="宋体" w:cs="Times New Roman"/>
                      <w:color w:val="auto"/>
                      <w:szCs w:val="21"/>
                      <w:highlight w:val="none"/>
                      <w:lang w:val="en-US" w:eastAsia="zh-CN"/>
                    </w:rPr>
                    <w:t>吨</w:t>
                  </w:r>
                </w:p>
              </w:tc>
              <w:tc>
                <w:tcPr>
                  <w:tcW w:w="585" w:type="pct"/>
                  <w:shd w:val="clear" w:color="auto" w:fill="auto"/>
                  <w:vAlign w:val="center"/>
                </w:tcPr>
                <w:p w14:paraId="7491674F">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szCs w:val="21"/>
                      <w:highlight w:val="none"/>
                      <w:lang w:val="en-US" w:eastAsia="zh-CN"/>
                    </w:rPr>
                    <w:t>25kg/</w:t>
                  </w:r>
                  <w:r>
                    <w:rPr>
                      <w:rFonts w:hint="eastAsia" w:cs="Times New Roman"/>
                      <w:color w:val="auto"/>
                      <w:szCs w:val="21"/>
                      <w:highlight w:val="none"/>
                      <w:lang w:val="en-US" w:eastAsia="zh-CN"/>
                    </w:rPr>
                    <w:t>袋</w:t>
                  </w:r>
                </w:p>
              </w:tc>
              <w:tc>
                <w:tcPr>
                  <w:tcW w:w="547" w:type="pct"/>
                  <w:shd w:val="clear" w:color="auto" w:fill="auto"/>
                  <w:vAlign w:val="center"/>
                </w:tcPr>
                <w:p w14:paraId="4A6D51FA">
                  <w:pPr>
                    <w:keepNext w:val="0"/>
                    <w:keepLines w:val="0"/>
                    <w:pageBreakBefore w:val="0"/>
                    <w:kinsoku/>
                    <w:wordWrap/>
                    <w:overflowPunct/>
                    <w:topLinePunct w:val="0"/>
                    <w:autoSpaceDE/>
                    <w:autoSpaceDN/>
                    <w:bidi w:val="0"/>
                    <w:adjustRightInd/>
                    <w:snapToGrid/>
                    <w:ind w:right="0" w:rightChars="0"/>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pacing w:val="20"/>
                      <w:sz w:val="21"/>
                      <w:szCs w:val="21"/>
                      <w:highlight w:val="none"/>
                    </w:rPr>
                    <w:t>否</w:t>
                  </w:r>
                </w:p>
              </w:tc>
              <w:tc>
                <w:tcPr>
                  <w:tcW w:w="368" w:type="pct"/>
                  <w:shd w:val="clear" w:color="auto" w:fill="auto"/>
                  <w:vAlign w:val="center"/>
                </w:tcPr>
                <w:p w14:paraId="6E486A2B">
                  <w:pPr>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w:t>
                  </w:r>
                </w:p>
              </w:tc>
              <w:tc>
                <w:tcPr>
                  <w:tcW w:w="521" w:type="pct"/>
                  <w:shd w:val="clear" w:color="auto" w:fill="auto"/>
                  <w:vAlign w:val="center"/>
                </w:tcPr>
                <w:p w14:paraId="4E45C0F5">
                  <w:pPr>
                    <w:spacing w:line="44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原材料</w:t>
                  </w:r>
                </w:p>
              </w:tc>
            </w:tr>
            <w:tr w14:paraId="7A7EF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blHeader/>
                <w:jc w:val="center"/>
              </w:trPr>
              <w:tc>
                <w:tcPr>
                  <w:tcW w:w="268" w:type="pct"/>
                  <w:shd w:val="clear" w:color="auto" w:fill="auto"/>
                  <w:vAlign w:val="center"/>
                </w:tcPr>
                <w:p w14:paraId="62367034">
                  <w:pPr>
                    <w:spacing w:line="440" w:lineRule="exact"/>
                    <w:jc w:val="center"/>
                    <w:rPr>
                      <w:rFonts w:hint="default"/>
                      <w:color w:val="auto"/>
                      <w:szCs w:val="21"/>
                      <w:highlight w:val="none"/>
                      <w:lang w:val="en-US" w:eastAsia="zh-CN"/>
                    </w:rPr>
                  </w:pPr>
                  <w:r>
                    <w:rPr>
                      <w:rFonts w:hint="eastAsia"/>
                      <w:color w:val="auto"/>
                      <w:szCs w:val="21"/>
                      <w:highlight w:val="none"/>
                      <w:lang w:val="en-US" w:eastAsia="zh-CN"/>
                    </w:rPr>
                    <w:t>7</w:t>
                  </w:r>
                </w:p>
              </w:tc>
              <w:tc>
                <w:tcPr>
                  <w:tcW w:w="745" w:type="pct"/>
                  <w:shd w:val="clear" w:color="auto" w:fill="auto"/>
                  <w:vAlign w:val="center"/>
                </w:tcPr>
                <w:p w14:paraId="64D06B1C">
                  <w:pPr>
                    <w:spacing w:line="44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机油</w:t>
                  </w:r>
                </w:p>
              </w:tc>
              <w:tc>
                <w:tcPr>
                  <w:tcW w:w="541" w:type="pct"/>
                  <w:shd w:val="clear" w:color="auto" w:fill="auto"/>
                  <w:vAlign w:val="center"/>
                </w:tcPr>
                <w:p w14:paraId="653DE317">
                  <w:pPr>
                    <w:spacing w:line="4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液态</w:t>
                  </w:r>
                </w:p>
              </w:tc>
              <w:tc>
                <w:tcPr>
                  <w:tcW w:w="621" w:type="pct"/>
                  <w:shd w:val="clear" w:color="auto" w:fill="auto"/>
                  <w:vAlign w:val="center"/>
                </w:tcPr>
                <w:p w14:paraId="53FE6E49">
                  <w:pPr>
                    <w:spacing w:line="44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0.1吨</w:t>
                  </w:r>
                </w:p>
              </w:tc>
              <w:tc>
                <w:tcPr>
                  <w:tcW w:w="800" w:type="pct"/>
                  <w:shd w:val="clear" w:color="auto" w:fill="auto"/>
                  <w:vAlign w:val="center"/>
                </w:tcPr>
                <w:p w14:paraId="11A7CD57">
                  <w:pPr>
                    <w:spacing w:line="440" w:lineRule="exact"/>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szCs w:val="21"/>
                      <w:highlight w:val="none"/>
                      <w:lang w:val="en-US" w:eastAsia="zh-CN"/>
                    </w:rPr>
                    <w:t>0.1吨</w:t>
                  </w:r>
                </w:p>
              </w:tc>
              <w:tc>
                <w:tcPr>
                  <w:tcW w:w="585" w:type="pct"/>
                  <w:shd w:val="clear" w:color="auto" w:fill="auto"/>
                  <w:vAlign w:val="center"/>
                </w:tcPr>
                <w:p w14:paraId="50FC0AF2">
                  <w:pPr>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50kg/桶</w:t>
                  </w:r>
                </w:p>
              </w:tc>
              <w:tc>
                <w:tcPr>
                  <w:tcW w:w="547" w:type="pct"/>
                  <w:shd w:val="clear" w:color="auto" w:fill="auto"/>
                  <w:vAlign w:val="center"/>
                </w:tcPr>
                <w:p w14:paraId="530CB893">
                  <w:pPr>
                    <w:keepNext w:val="0"/>
                    <w:keepLines w:val="0"/>
                    <w:pageBreakBefore w:val="0"/>
                    <w:kinsoku/>
                    <w:wordWrap/>
                    <w:overflowPunct/>
                    <w:topLinePunct w:val="0"/>
                    <w:autoSpaceDE/>
                    <w:autoSpaceDN/>
                    <w:bidi w:val="0"/>
                    <w:adjustRightInd/>
                    <w:snapToGrid/>
                    <w:ind w:right="0" w:rightChars="0"/>
                    <w:jc w:val="center"/>
                    <w:textAlignment w:val="auto"/>
                    <w:rPr>
                      <w:rFonts w:hint="eastAsia" w:ascii="Times New Roman" w:hAnsi="Times New Roman" w:eastAsia="宋体" w:cs="Times New Roman"/>
                      <w:color w:val="auto"/>
                      <w:spacing w:val="20"/>
                      <w:kern w:val="2"/>
                      <w:sz w:val="21"/>
                      <w:szCs w:val="21"/>
                      <w:highlight w:val="none"/>
                      <w:lang w:val="en-US" w:eastAsia="zh-CN" w:bidi="ar-SA"/>
                    </w:rPr>
                  </w:pPr>
                  <w:r>
                    <w:rPr>
                      <w:rFonts w:hint="eastAsia" w:ascii="Times New Roman" w:hAnsi="Times New Roman" w:cs="Times New Roman"/>
                      <w:color w:val="auto"/>
                      <w:spacing w:val="20"/>
                      <w:sz w:val="21"/>
                      <w:szCs w:val="21"/>
                      <w:highlight w:val="none"/>
                      <w:lang w:val="en-US" w:eastAsia="zh-CN"/>
                    </w:rPr>
                    <w:t>是</w:t>
                  </w:r>
                </w:p>
              </w:tc>
              <w:tc>
                <w:tcPr>
                  <w:tcW w:w="368" w:type="pct"/>
                  <w:shd w:val="clear" w:color="auto" w:fill="auto"/>
                  <w:vAlign w:val="center"/>
                </w:tcPr>
                <w:p w14:paraId="5663DEE8">
                  <w:pPr>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2500t</w:t>
                  </w:r>
                </w:p>
              </w:tc>
              <w:tc>
                <w:tcPr>
                  <w:tcW w:w="521" w:type="pct"/>
                  <w:shd w:val="clear" w:color="auto" w:fill="auto"/>
                  <w:vAlign w:val="center"/>
                </w:tcPr>
                <w:p w14:paraId="4F755CB7">
                  <w:pPr>
                    <w:spacing w:line="44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设备维护</w:t>
                  </w:r>
                </w:p>
              </w:tc>
            </w:tr>
          </w:tbl>
          <w:p w14:paraId="1D011D8D">
            <w:pPr>
              <w:pStyle w:val="95"/>
              <w:spacing w:before="120"/>
              <w:rPr>
                <w:rFonts w:ascii="Times New Roman" w:hAnsi="Times New Roman" w:eastAsia="宋体" w:cs="Times New Roman"/>
                <w:b/>
                <w:color w:val="auto"/>
                <w:kern w:val="2"/>
                <w:sz w:val="21"/>
                <w:highlight w:val="none"/>
              </w:rPr>
            </w:pPr>
            <w:r>
              <w:rPr>
                <w:rFonts w:ascii="Times New Roman" w:hAnsi="Times New Roman" w:eastAsia="宋体" w:cs="Times New Roman"/>
                <w:b/>
                <w:color w:val="auto"/>
                <w:kern w:val="2"/>
                <w:sz w:val="21"/>
                <w:highlight w:val="none"/>
              </w:rPr>
              <w:t>主要原辅材料理化性质一览表</w:t>
            </w:r>
          </w:p>
          <w:tbl>
            <w:tblPr>
              <w:tblStyle w:val="35"/>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459"/>
              <w:gridCol w:w="1053"/>
              <w:gridCol w:w="7317"/>
            </w:tblGrid>
            <w:tr w14:paraId="6FF587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260" w:type="pct"/>
                  <w:shd w:val="clear" w:color="auto" w:fill="auto"/>
                  <w:vAlign w:val="center"/>
                </w:tcPr>
                <w:p w14:paraId="19615BEA">
                  <w:pPr>
                    <w:spacing w:line="360" w:lineRule="exact"/>
                    <w:jc w:val="center"/>
                    <w:rPr>
                      <w:color w:val="auto"/>
                      <w:szCs w:val="21"/>
                      <w:highlight w:val="none"/>
                    </w:rPr>
                  </w:pPr>
                  <w:r>
                    <w:rPr>
                      <w:b/>
                      <w:color w:val="auto"/>
                      <w:szCs w:val="21"/>
                      <w:highlight w:val="none"/>
                    </w:rPr>
                    <w:t>序号</w:t>
                  </w:r>
                </w:p>
              </w:tc>
              <w:tc>
                <w:tcPr>
                  <w:tcW w:w="596" w:type="pct"/>
                  <w:tcBorders>
                    <w:right w:val="single" w:color="auto" w:sz="4" w:space="0"/>
                  </w:tcBorders>
                  <w:shd w:val="clear" w:color="auto" w:fill="auto"/>
                  <w:vAlign w:val="center"/>
                </w:tcPr>
                <w:p w14:paraId="7909B564">
                  <w:pPr>
                    <w:spacing w:line="360" w:lineRule="exact"/>
                    <w:jc w:val="center"/>
                    <w:rPr>
                      <w:b/>
                      <w:color w:val="auto"/>
                      <w:szCs w:val="21"/>
                      <w:highlight w:val="none"/>
                    </w:rPr>
                  </w:pPr>
                  <w:r>
                    <w:rPr>
                      <w:b/>
                      <w:color w:val="auto"/>
                      <w:szCs w:val="21"/>
                      <w:highlight w:val="none"/>
                    </w:rPr>
                    <w:t>名称</w:t>
                  </w:r>
                </w:p>
              </w:tc>
              <w:tc>
                <w:tcPr>
                  <w:tcW w:w="4143" w:type="pct"/>
                  <w:tcBorders>
                    <w:right w:val="single" w:color="auto" w:sz="4" w:space="0"/>
                  </w:tcBorders>
                  <w:shd w:val="clear" w:color="auto" w:fill="auto"/>
                  <w:vAlign w:val="center"/>
                </w:tcPr>
                <w:p w14:paraId="3F5A3AFE">
                  <w:pPr>
                    <w:spacing w:line="360" w:lineRule="exact"/>
                    <w:jc w:val="center"/>
                    <w:rPr>
                      <w:b/>
                      <w:color w:val="auto"/>
                      <w:szCs w:val="21"/>
                      <w:highlight w:val="none"/>
                    </w:rPr>
                  </w:pPr>
                  <w:r>
                    <w:rPr>
                      <w:b/>
                      <w:color w:val="auto"/>
                      <w:szCs w:val="21"/>
                      <w:highlight w:val="none"/>
                    </w:rPr>
                    <w:t>理化性质</w:t>
                  </w:r>
                </w:p>
              </w:tc>
            </w:tr>
            <w:tr w14:paraId="134125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89" w:hRule="atLeast"/>
              </w:trPr>
              <w:tc>
                <w:tcPr>
                  <w:tcW w:w="260" w:type="pct"/>
                  <w:shd w:val="clear" w:color="auto" w:fill="auto"/>
                  <w:vAlign w:val="center"/>
                </w:tcPr>
                <w:p w14:paraId="63F4E4D1">
                  <w:pPr>
                    <w:numPr>
                      <w:ilvl w:val="0"/>
                      <w:numId w:val="0"/>
                    </w:numPr>
                    <w:spacing w:line="440" w:lineRule="exact"/>
                    <w:ind w:leftChars="0"/>
                    <w:jc w:val="center"/>
                    <w:rPr>
                      <w:rFonts w:hint="eastAsia" w:eastAsia="宋体"/>
                      <w:color w:val="auto"/>
                      <w:spacing w:val="20"/>
                      <w:szCs w:val="21"/>
                      <w:highlight w:val="none"/>
                      <w:lang w:val="en-US" w:eastAsia="zh-CN"/>
                    </w:rPr>
                  </w:pPr>
                  <w:r>
                    <w:rPr>
                      <w:rFonts w:hint="eastAsia"/>
                      <w:color w:val="auto"/>
                      <w:spacing w:val="20"/>
                      <w:szCs w:val="21"/>
                      <w:highlight w:val="none"/>
                      <w:lang w:val="en-US" w:eastAsia="zh-CN"/>
                    </w:rPr>
                    <w:t>1</w:t>
                  </w:r>
                </w:p>
              </w:tc>
              <w:tc>
                <w:tcPr>
                  <w:tcW w:w="596" w:type="pct"/>
                  <w:shd w:val="clear" w:color="auto" w:fill="auto"/>
                  <w:vAlign w:val="center"/>
                </w:tcPr>
                <w:p w14:paraId="4B3AD06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highlight w:val="none"/>
                      <w:lang w:val="en-US" w:eastAsia="zh-CN" w:bidi="ar"/>
                    </w:rPr>
                  </w:pPr>
                  <w:r>
                    <w:rPr>
                      <w:rFonts w:hint="eastAsia" w:ascii="Times New Roman" w:hAnsi="Times New Roman" w:eastAsia="宋体" w:cs="Times New Roman"/>
                      <w:color w:val="000000"/>
                      <w:szCs w:val="21"/>
                      <w:highlight w:val="none"/>
                      <w:lang w:val="en-US" w:eastAsia="zh-CN" w:bidi="ar"/>
                    </w:rPr>
                    <w:t>PA塑料新粒</w:t>
                  </w:r>
                </w:p>
              </w:tc>
              <w:tc>
                <w:tcPr>
                  <w:tcW w:w="4143" w:type="pct"/>
                  <w:tcBorders>
                    <w:right w:val="single" w:color="auto" w:sz="4" w:space="0"/>
                  </w:tcBorders>
                  <w:shd w:val="clear" w:color="auto" w:fill="auto"/>
                  <w:vAlign w:val="center"/>
                </w:tcPr>
                <w:p w14:paraId="529A315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又称聚酰胺，俗称尼龙，具有良好的综合性能，成型收缩率：</w:t>
                  </w:r>
                  <w:r>
                    <w:rPr>
                      <w:rStyle w:val="110"/>
                      <w:rFonts w:hint="default" w:ascii="Times New Roman" w:hAnsi="Times New Roman" w:eastAsia="宋体" w:cs="Times New Roman"/>
                      <w:color w:val="auto"/>
                      <w:sz w:val="21"/>
                      <w:szCs w:val="21"/>
                      <w:lang w:val="en-US" w:eastAsia="zh-CN" w:bidi="ar"/>
                    </w:rPr>
                    <w:t>0.8-2.5%</w:t>
                  </w:r>
                  <w:r>
                    <w:rPr>
                      <w:rStyle w:val="112"/>
                      <w:rFonts w:hint="default" w:ascii="Times New Roman" w:hAnsi="Times New Roman" w:eastAsia="宋体" w:cs="Times New Roman"/>
                      <w:color w:val="auto"/>
                      <w:sz w:val="21"/>
                      <w:szCs w:val="21"/>
                      <w:lang w:val="en-US" w:eastAsia="zh-CN" w:bidi="ar"/>
                    </w:rPr>
                    <w:t>，成型温度：</w:t>
                  </w:r>
                  <w:r>
                    <w:rPr>
                      <w:rStyle w:val="110"/>
                      <w:rFonts w:hint="default" w:ascii="Times New Roman" w:hAnsi="Times New Roman" w:eastAsia="宋体" w:cs="Times New Roman"/>
                      <w:color w:val="auto"/>
                      <w:sz w:val="21"/>
                      <w:szCs w:val="21"/>
                      <w:lang w:val="en-US" w:eastAsia="zh-CN" w:bidi="ar"/>
                    </w:rPr>
                    <w:t>220-300</w:t>
                  </w:r>
                  <w:r>
                    <w:rPr>
                      <w:rStyle w:val="112"/>
                      <w:rFonts w:hint="default" w:ascii="Times New Roman" w:hAnsi="Times New Roman" w:eastAsia="宋体" w:cs="Times New Roman"/>
                      <w:color w:val="auto"/>
                      <w:sz w:val="21"/>
                      <w:szCs w:val="21"/>
                      <w:lang w:val="en-US" w:eastAsia="zh-CN" w:bidi="ar"/>
                    </w:rPr>
                    <w:t>℃，分解温度为</w:t>
                  </w:r>
                  <w:r>
                    <w:rPr>
                      <w:rStyle w:val="110"/>
                      <w:rFonts w:hint="default" w:ascii="Times New Roman" w:hAnsi="Times New Roman" w:eastAsia="宋体" w:cs="Times New Roman"/>
                      <w:color w:val="auto"/>
                      <w:sz w:val="21"/>
                      <w:szCs w:val="21"/>
                      <w:lang w:val="en-US" w:eastAsia="zh-CN" w:bidi="ar"/>
                    </w:rPr>
                    <w:t>380</w:t>
                  </w:r>
                  <w:r>
                    <w:rPr>
                      <w:rStyle w:val="112"/>
                      <w:rFonts w:hint="default" w:ascii="Times New Roman" w:hAnsi="Times New Roman" w:eastAsia="宋体" w:cs="Times New Roman"/>
                      <w:color w:val="auto"/>
                      <w:sz w:val="21"/>
                      <w:szCs w:val="21"/>
                      <w:lang w:val="en-US" w:eastAsia="zh-CN" w:bidi="ar"/>
                    </w:rPr>
                    <w:t>℃。</w:t>
                  </w:r>
                </w:p>
              </w:tc>
            </w:tr>
            <w:tr w14:paraId="66B928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89" w:hRule="atLeast"/>
              </w:trPr>
              <w:tc>
                <w:tcPr>
                  <w:tcW w:w="260" w:type="pct"/>
                  <w:shd w:val="clear" w:color="auto" w:fill="auto"/>
                  <w:vAlign w:val="center"/>
                </w:tcPr>
                <w:p w14:paraId="68CEFFA2">
                  <w:pPr>
                    <w:numPr>
                      <w:ilvl w:val="0"/>
                      <w:numId w:val="0"/>
                    </w:numPr>
                    <w:spacing w:line="440" w:lineRule="exact"/>
                    <w:ind w:leftChars="0"/>
                    <w:jc w:val="center"/>
                    <w:rPr>
                      <w:rFonts w:hint="eastAsia" w:eastAsia="宋体"/>
                      <w:color w:val="auto"/>
                      <w:spacing w:val="20"/>
                      <w:szCs w:val="21"/>
                      <w:highlight w:val="none"/>
                      <w:lang w:val="en-US" w:eastAsia="zh-CN"/>
                    </w:rPr>
                  </w:pPr>
                  <w:r>
                    <w:rPr>
                      <w:rFonts w:hint="eastAsia"/>
                      <w:color w:val="auto"/>
                      <w:spacing w:val="20"/>
                      <w:szCs w:val="21"/>
                      <w:highlight w:val="none"/>
                      <w:lang w:val="en-US" w:eastAsia="zh-CN"/>
                    </w:rPr>
                    <w:t>2</w:t>
                  </w:r>
                </w:p>
              </w:tc>
              <w:tc>
                <w:tcPr>
                  <w:tcW w:w="596" w:type="pct"/>
                  <w:shd w:val="clear" w:color="auto" w:fill="auto"/>
                  <w:vAlign w:val="center"/>
                </w:tcPr>
                <w:p w14:paraId="7B773433">
                  <w:pPr>
                    <w:snapToGrid w:val="0"/>
                    <w:jc w:val="center"/>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PC塑料新粒</w:t>
                  </w:r>
                </w:p>
              </w:tc>
              <w:tc>
                <w:tcPr>
                  <w:tcW w:w="4143" w:type="pct"/>
                  <w:tcBorders>
                    <w:right w:val="single" w:color="auto" w:sz="4" w:space="0"/>
                  </w:tcBorders>
                  <w:shd w:val="clear" w:color="auto" w:fill="auto"/>
                  <w:vAlign w:val="center"/>
                </w:tcPr>
                <w:p w14:paraId="34E2271F">
                  <w:pPr>
                    <w:keepNext w:val="0"/>
                    <w:keepLines w:val="0"/>
                    <w:suppressLineNumbers w:val="0"/>
                    <w:spacing w:before="0" w:beforeAutospacing="0" w:after="0" w:afterAutospacing="0"/>
                    <w:ind w:left="0" w:leftChars="0" w:right="0" w:rightChars="0"/>
                    <w:jc w:val="both"/>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又称聚碳酸酯，是分子链中含有碳酸酯基的高分子聚合物。比重：1.20g/cm</w:t>
                  </w:r>
                  <w:r>
                    <w:rPr>
                      <w:rFonts w:hint="default" w:ascii="Times New Roman" w:hAnsi="Times New Roman" w:eastAsia="宋体" w:cs="Times New Roman"/>
                      <w:color w:val="000000"/>
                      <w:sz w:val="21"/>
                      <w:szCs w:val="21"/>
                      <w:highlight w:val="none"/>
                      <w:vertAlign w:val="superscript"/>
                    </w:rPr>
                    <w:t>3</w:t>
                  </w:r>
                  <w:r>
                    <w:rPr>
                      <w:rFonts w:hint="default" w:ascii="Times New Roman" w:hAnsi="Times New Roman" w:eastAsia="宋体" w:cs="Times New Roman"/>
                      <w:color w:val="000000"/>
                      <w:sz w:val="21"/>
                      <w:szCs w:val="21"/>
                      <w:highlight w:val="none"/>
                      <w:lang w:eastAsia="zh-CN"/>
                    </w:rPr>
                    <w:t>，</w:t>
                  </w:r>
                  <w:r>
                    <w:rPr>
                      <w:rFonts w:hint="default" w:ascii="Times New Roman" w:hAnsi="Times New Roman" w:eastAsia="宋体" w:cs="Times New Roman"/>
                      <w:color w:val="000000"/>
                      <w:sz w:val="21"/>
                      <w:szCs w:val="21"/>
                      <w:highlight w:val="none"/>
                    </w:rPr>
                    <w:t>成型收缩率：0.5%~0.8%，成型温度：</w:t>
                  </w:r>
                  <w:r>
                    <w:rPr>
                      <w:rFonts w:hint="default" w:ascii="Times New Roman" w:hAnsi="Times New Roman" w:eastAsia="宋体" w:cs="Times New Roman"/>
                      <w:color w:val="000000"/>
                      <w:sz w:val="21"/>
                      <w:szCs w:val="21"/>
                      <w:highlight w:val="none"/>
                      <w:lang w:val="en-US" w:eastAsia="zh-CN"/>
                    </w:rPr>
                    <w:t>27</w:t>
                  </w:r>
                  <w:r>
                    <w:rPr>
                      <w:rFonts w:hint="default" w:ascii="Times New Roman" w:hAnsi="Times New Roman" w:eastAsia="宋体" w:cs="Times New Roman"/>
                      <w:color w:val="000000"/>
                      <w:sz w:val="21"/>
                      <w:szCs w:val="21"/>
                      <w:highlight w:val="none"/>
                    </w:rPr>
                    <w:t>0℃~</w:t>
                  </w:r>
                  <w:r>
                    <w:rPr>
                      <w:rFonts w:hint="default" w:ascii="Times New Roman" w:hAnsi="Times New Roman" w:eastAsia="宋体" w:cs="Times New Roman"/>
                      <w:color w:val="000000"/>
                      <w:sz w:val="21"/>
                      <w:szCs w:val="21"/>
                      <w:highlight w:val="none"/>
                      <w:lang w:val="en-US" w:eastAsia="zh-CN"/>
                    </w:rPr>
                    <w:t>380</w:t>
                  </w:r>
                  <w:r>
                    <w:rPr>
                      <w:rFonts w:hint="default" w:ascii="Times New Roman" w:hAnsi="Times New Roman" w:eastAsia="宋体" w:cs="Times New Roman"/>
                      <w:color w:val="000000"/>
                      <w:sz w:val="21"/>
                      <w:szCs w:val="21"/>
                      <w:highlight w:val="none"/>
                    </w:rPr>
                    <w:t>℃，分解温度为</w:t>
                  </w:r>
                  <w:r>
                    <w:rPr>
                      <w:rFonts w:hint="default" w:ascii="Times New Roman" w:hAnsi="Times New Roman" w:eastAsia="宋体" w:cs="Times New Roman"/>
                      <w:color w:val="000000"/>
                      <w:sz w:val="21"/>
                      <w:szCs w:val="21"/>
                      <w:highlight w:val="none"/>
                      <w:lang w:val="en-US" w:eastAsia="zh-CN"/>
                    </w:rPr>
                    <w:t>40</w:t>
                  </w:r>
                  <w:r>
                    <w:rPr>
                      <w:rFonts w:hint="default" w:ascii="Times New Roman" w:hAnsi="Times New Roman" w:eastAsia="宋体" w:cs="Times New Roman"/>
                      <w:color w:val="000000"/>
                      <w:sz w:val="21"/>
                      <w:szCs w:val="21"/>
                      <w:highlight w:val="none"/>
                    </w:rPr>
                    <w:t>0℃。物料性能冲击强度高，尺寸稳定性好，无色透明，着色性好，电绝缘性、耐腐蚀性、耐磨性好。</w:t>
                  </w:r>
                </w:p>
              </w:tc>
            </w:tr>
            <w:tr w14:paraId="29EA5B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60" w:type="pct"/>
                  <w:shd w:val="clear" w:color="auto" w:fill="auto"/>
                  <w:vAlign w:val="center"/>
                </w:tcPr>
                <w:p w14:paraId="5C790CD0">
                  <w:pPr>
                    <w:numPr>
                      <w:ilvl w:val="0"/>
                      <w:numId w:val="0"/>
                    </w:numPr>
                    <w:spacing w:line="440" w:lineRule="exact"/>
                    <w:ind w:leftChars="0"/>
                    <w:jc w:val="center"/>
                    <w:rPr>
                      <w:rFonts w:hint="eastAsia" w:eastAsia="宋体"/>
                      <w:color w:val="auto"/>
                      <w:spacing w:val="20"/>
                      <w:szCs w:val="21"/>
                      <w:highlight w:val="none"/>
                      <w:lang w:val="en-US" w:eastAsia="zh-CN"/>
                    </w:rPr>
                  </w:pPr>
                  <w:r>
                    <w:rPr>
                      <w:rFonts w:hint="eastAsia"/>
                      <w:color w:val="auto"/>
                      <w:spacing w:val="20"/>
                      <w:szCs w:val="21"/>
                      <w:highlight w:val="none"/>
                      <w:lang w:val="en-US" w:eastAsia="zh-CN"/>
                    </w:rPr>
                    <w:t>3</w:t>
                  </w:r>
                </w:p>
              </w:tc>
              <w:tc>
                <w:tcPr>
                  <w:tcW w:w="596" w:type="pct"/>
                  <w:shd w:val="clear" w:color="auto" w:fill="auto"/>
                  <w:vAlign w:val="center"/>
                </w:tcPr>
                <w:p w14:paraId="13FE0A11">
                  <w:pPr>
                    <w:spacing w:line="440" w:lineRule="exac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lang w:val="en-US" w:eastAsia="zh-CN"/>
                    </w:rPr>
                    <w:t>环氧树脂AB</w:t>
                  </w:r>
                  <w:r>
                    <w:rPr>
                      <w:rFonts w:hint="default" w:ascii="Times New Roman" w:hAnsi="Times New Roman" w:eastAsia="宋体" w:cs="Times New Roman"/>
                      <w:color w:val="000000"/>
                    </w:rPr>
                    <w:t>胶</w:t>
                  </w:r>
                </w:p>
              </w:tc>
              <w:tc>
                <w:tcPr>
                  <w:tcW w:w="4143" w:type="pct"/>
                  <w:tcBorders>
                    <w:right w:val="single" w:color="auto" w:sz="4" w:space="0"/>
                  </w:tcBorders>
                  <w:shd w:val="clear" w:color="auto" w:fill="auto"/>
                  <w:vAlign w:val="center"/>
                </w:tcPr>
                <w:p w14:paraId="4A2D9881">
                  <w:pPr>
                    <w:pStyle w:val="10"/>
                    <w:spacing w:before="0" w:after="0" w:line="240" w:lineRule="auto"/>
                    <w:ind w:right="0" w:rightChars="0"/>
                    <w:jc w:val="center"/>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sz w:val="21"/>
                      <w:szCs w:val="21"/>
                      <w:highlight w:val="none"/>
                      <w:lang w:eastAsia="zh-CN"/>
                    </w:rPr>
                    <w:t>环氧树脂A胶为半透明乳白色液体，pH值为6.0，不溶于水。组成成分为环氧树脂70%、苯甲醇5%、滑石粉25%，环氧树脂B胶为半透明乳白色液体，pH值为6.0，不溶于水。组成成分为650聚酰胺树脂70%、苯甲醇3%、滑石粉25%、硅烷偶联剂2%。</w:t>
                  </w:r>
                  <w:r>
                    <w:rPr>
                      <w:rFonts w:hint="eastAsia" w:ascii="Times New Roman" w:hAnsi="Times New Roman" w:eastAsia="宋体" w:cs="Times New Roman"/>
                      <w:color w:val="000000"/>
                      <w:sz w:val="21"/>
                      <w:szCs w:val="21"/>
                      <w:highlight w:val="none"/>
                      <w:lang w:val="en-US" w:eastAsia="zh-CN"/>
                    </w:rPr>
                    <w:t>混合比例为1:1，</w:t>
                  </w:r>
                  <w:r>
                    <w:rPr>
                      <w:rFonts w:hint="default" w:ascii="Times New Roman" w:hAnsi="Times New Roman" w:eastAsia="宋体" w:cs="Times New Roman"/>
                      <w:color w:val="000000"/>
                      <w:sz w:val="21"/>
                      <w:szCs w:val="21"/>
                      <w:highlight w:val="none"/>
                      <w:lang w:eastAsia="zh-CN"/>
                    </w:rPr>
                    <w:t>根据环氧树脂AB胶VOCs</w:t>
                  </w:r>
                  <w:r>
                    <w:rPr>
                      <w:rFonts w:hint="eastAsia" w:ascii="Times New Roman" w:hAnsi="Times New Roman" w:eastAsia="宋体" w:cs="Times New Roman"/>
                      <w:color w:val="000000"/>
                      <w:sz w:val="21"/>
                      <w:szCs w:val="21"/>
                      <w:highlight w:val="none"/>
                      <w:lang w:val="en-US" w:eastAsia="zh-CN"/>
                    </w:rPr>
                    <w:t>检测</w:t>
                  </w:r>
                  <w:r>
                    <w:rPr>
                      <w:rFonts w:hint="default" w:ascii="Times New Roman" w:hAnsi="Times New Roman" w:eastAsia="宋体" w:cs="Times New Roman"/>
                      <w:color w:val="000000"/>
                      <w:sz w:val="21"/>
                      <w:szCs w:val="21"/>
                      <w:highlight w:val="none"/>
                      <w:lang w:eastAsia="zh-CN"/>
                    </w:rPr>
                    <w:t>报告可知，项目使用的环氧树脂胶A</w:t>
                  </w:r>
                  <w:r>
                    <w:rPr>
                      <w:rFonts w:hint="eastAsia" w:ascii="Times New Roman" w:hAnsi="Times New Roman" w:eastAsia="宋体" w:cs="Times New Roman"/>
                      <w:color w:val="000000"/>
                      <w:sz w:val="21"/>
                      <w:szCs w:val="21"/>
                      <w:highlight w:val="none"/>
                      <w:lang w:val="en-US" w:eastAsia="zh-CN"/>
                    </w:rPr>
                    <w:t>胶、</w:t>
                  </w:r>
                  <w:r>
                    <w:rPr>
                      <w:rFonts w:hint="default" w:ascii="Times New Roman" w:hAnsi="Times New Roman" w:eastAsia="宋体" w:cs="Times New Roman"/>
                      <w:color w:val="000000"/>
                      <w:sz w:val="21"/>
                      <w:szCs w:val="21"/>
                      <w:highlight w:val="none"/>
                      <w:lang w:eastAsia="zh-CN"/>
                    </w:rPr>
                    <w:t>B</w:t>
                  </w:r>
                  <w:r>
                    <w:rPr>
                      <w:rFonts w:hint="eastAsia" w:ascii="Times New Roman" w:hAnsi="Times New Roman" w:eastAsia="宋体" w:cs="Times New Roman"/>
                      <w:color w:val="000000"/>
                      <w:sz w:val="21"/>
                      <w:szCs w:val="21"/>
                      <w:highlight w:val="none"/>
                      <w:lang w:val="en-US" w:eastAsia="zh-CN"/>
                    </w:rPr>
                    <w:t>胶混合后</w:t>
                  </w:r>
                  <w:r>
                    <w:rPr>
                      <w:rFonts w:hint="default" w:ascii="Times New Roman" w:hAnsi="Times New Roman" w:eastAsia="宋体" w:cs="Times New Roman"/>
                      <w:color w:val="000000"/>
                      <w:sz w:val="21"/>
                      <w:szCs w:val="21"/>
                      <w:highlight w:val="none"/>
                      <w:lang w:eastAsia="zh-CN"/>
                    </w:rPr>
                    <w:t>VOC检测报告中含量3g/L，密度为1g/cm</w:t>
                  </w:r>
                  <w:r>
                    <w:rPr>
                      <w:rFonts w:hint="default" w:ascii="Times New Roman" w:hAnsi="Times New Roman" w:eastAsia="宋体" w:cs="Times New Roman"/>
                      <w:color w:val="000000"/>
                      <w:sz w:val="21"/>
                      <w:szCs w:val="21"/>
                      <w:highlight w:val="none"/>
                      <w:vertAlign w:val="superscript"/>
                      <w:lang w:eastAsia="zh-CN"/>
                    </w:rPr>
                    <w:t>3</w:t>
                  </w:r>
                  <w:r>
                    <w:rPr>
                      <w:rFonts w:hint="default" w:ascii="Times New Roman" w:hAnsi="Times New Roman" w:eastAsia="宋体" w:cs="Times New Roman"/>
                      <w:color w:val="000000"/>
                      <w:sz w:val="21"/>
                      <w:szCs w:val="21"/>
                      <w:highlight w:val="none"/>
                      <w:lang w:eastAsia="zh-CN"/>
                    </w:rPr>
                    <w:t>，3g/L÷1g/cm3=3g/kg=3%，则VOC含量为3%，符合《胶粘剂挥发性有机化合物限量》（GB33372-2020）中本体型胶粘剂其他行业中环氧树脂类限量≤50g/kg，属于低挥发性有机物原辅材料</w:t>
                  </w:r>
                  <w:r>
                    <w:rPr>
                      <w:rFonts w:hint="eastAsia" w:ascii="Times New Roman" w:hAnsi="Times New Roman" w:eastAsia="宋体" w:cs="Times New Roman"/>
                      <w:color w:val="000000"/>
                      <w:sz w:val="21"/>
                      <w:szCs w:val="21"/>
                      <w:highlight w:val="none"/>
                      <w:lang w:eastAsia="zh-CN"/>
                    </w:rPr>
                    <w:t>。</w:t>
                  </w:r>
                </w:p>
              </w:tc>
            </w:tr>
            <w:tr w14:paraId="6D46C2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60" w:type="pct"/>
                  <w:shd w:val="clear" w:color="auto" w:fill="auto"/>
                  <w:vAlign w:val="center"/>
                </w:tcPr>
                <w:p w14:paraId="45A9A13C">
                  <w:pPr>
                    <w:numPr>
                      <w:ilvl w:val="0"/>
                      <w:numId w:val="0"/>
                    </w:numPr>
                    <w:spacing w:line="440" w:lineRule="exact"/>
                    <w:ind w:leftChars="0"/>
                    <w:jc w:val="center"/>
                    <w:rPr>
                      <w:rFonts w:hint="default" w:eastAsia="宋体"/>
                      <w:color w:val="auto"/>
                      <w:spacing w:val="20"/>
                      <w:szCs w:val="21"/>
                      <w:highlight w:val="none"/>
                      <w:lang w:val="en-US" w:eastAsia="zh-CN"/>
                    </w:rPr>
                  </w:pPr>
                  <w:r>
                    <w:rPr>
                      <w:rFonts w:hint="eastAsia" w:eastAsia="宋体"/>
                      <w:color w:val="auto"/>
                      <w:spacing w:val="20"/>
                      <w:szCs w:val="21"/>
                      <w:highlight w:val="none"/>
                      <w:lang w:val="en-US" w:eastAsia="zh-CN"/>
                    </w:rPr>
                    <w:t>4</w:t>
                  </w:r>
                </w:p>
              </w:tc>
              <w:tc>
                <w:tcPr>
                  <w:tcW w:w="596" w:type="pct"/>
                  <w:shd w:val="clear" w:color="auto" w:fill="auto"/>
                  <w:vAlign w:val="center"/>
                </w:tcPr>
                <w:p w14:paraId="266399B6">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机油</w:t>
                  </w:r>
                </w:p>
              </w:tc>
              <w:tc>
                <w:tcPr>
                  <w:tcW w:w="4143" w:type="pct"/>
                  <w:tcBorders>
                    <w:right w:val="single" w:color="auto" w:sz="4" w:space="0"/>
                  </w:tcBorders>
                  <w:shd w:val="clear" w:color="auto" w:fill="auto"/>
                  <w:vAlign w:val="center"/>
                </w:tcPr>
                <w:p w14:paraId="673F0A1B">
                  <w:pPr>
                    <w:adjustRightIn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bidi="en-AU"/>
                    </w:rPr>
                    <w:t>由基础油和添加剂组成，</w:t>
                  </w:r>
                  <w:r>
                    <w:rPr>
                      <w:rFonts w:hint="default" w:ascii="Times New Roman" w:hAnsi="Times New Roman"/>
                      <w:color w:val="auto"/>
                      <w:kern w:val="0"/>
                      <w:szCs w:val="21"/>
                      <w:highlight w:val="none"/>
                    </w:rPr>
                    <w:t>淡</w:t>
                  </w:r>
                  <w:r>
                    <w:rPr>
                      <w:rFonts w:hint="default" w:ascii="Times New Roman" w:hAnsi="Times New Roman" w:eastAsia="宋体" w:cs="Times New Roman"/>
                      <w:color w:val="auto"/>
                      <w:kern w:val="0"/>
                      <w:szCs w:val="21"/>
                      <w:highlight w:val="none"/>
                    </w:rPr>
                    <w:t>黄色</w:t>
                  </w:r>
                  <w:r>
                    <w:rPr>
                      <w:rFonts w:hint="default" w:ascii="Times New Roman" w:hAnsi="Times New Roman" w:eastAsia="宋体" w:cs="Times New Roman"/>
                      <w:color w:val="auto"/>
                      <w:kern w:val="0"/>
                      <w:szCs w:val="21"/>
                      <w:highlight w:val="none"/>
                      <w:lang w:val="en-US" w:eastAsia="zh-CN"/>
                    </w:rPr>
                    <w:t>至褐色</w:t>
                  </w:r>
                  <w:r>
                    <w:rPr>
                      <w:rFonts w:hint="default" w:ascii="Times New Roman" w:hAnsi="Times New Roman" w:eastAsia="宋体" w:cs="Times New Roman"/>
                      <w:color w:val="auto"/>
                      <w:kern w:val="0"/>
                      <w:szCs w:val="21"/>
                      <w:highlight w:val="none"/>
                    </w:rPr>
                    <w:t>透明液体</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分子量为230-500，</w:t>
                  </w:r>
                  <w:r>
                    <w:rPr>
                      <w:rFonts w:hint="default" w:ascii="Times New Roman" w:hAnsi="Times New Roman" w:eastAsia="宋体" w:cs="Times New Roman"/>
                      <w:color w:val="auto"/>
                      <w:kern w:val="0"/>
                      <w:szCs w:val="21"/>
                      <w:highlight w:val="none"/>
                    </w:rPr>
                    <w:t>密度约为0.91×10³（kg/m³）</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不溶于水，相对密度大于1，闪点为</w:t>
                  </w:r>
                  <w:r>
                    <w:rPr>
                      <w:rFonts w:hint="eastAsia" w:ascii="Times New Roman" w:hAnsi="Times New Roman" w:eastAsia="宋体" w:cs="Times New Roman"/>
                      <w:color w:val="auto"/>
                      <w:kern w:val="0"/>
                      <w:szCs w:val="21"/>
                      <w:highlight w:val="none"/>
                      <w:lang w:val="en-US" w:eastAsia="zh-CN"/>
                    </w:rPr>
                    <w:t>220</w:t>
                  </w:r>
                  <w:r>
                    <w:rPr>
                      <w:rFonts w:hint="default" w:ascii="Times New Roman" w:hAnsi="Times New Roman" w:eastAsia="宋体" w:cs="Times New Roman"/>
                      <w:color w:val="auto"/>
                      <w:kern w:val="0"/>
                      <w:szCs w:val="21"/>
                      <w:highlight w:val="none"/>
                      <w:lang w:val="en-US" w:eastAsia="zh-CN"/>
                    </w:rPr>
                    <w:t>℃，引燃温度为248℃</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lang w:val="en-US" w:eastAsia="zh-CN"/>
                    </w:rPr>
                    <w:t>作为本项目机油，能对电机起到润滑减磨、辅助冷却降温、密封防漏、防锈防蚀、减震缓冲等作用</w:t>
                  </w:r>
                  <w:r>
                    <w:rPr>
                      <w:rFonts w:hint="eastAsia" w:ascii="Times New Roman" w:hAnsi="Times New Roman" w:eastAsia="宋体" w:cs="Times New Roman"/>
                      <w:color w:val="auto"/>
                      <w:kern w:val="0"/>
                      <w:szCs w:val="21"/>
                      <w:highlight w:val="none"/>
                      <w:lang w:val="en-US" w:eastAsia="zh-CN"/>
                    </w:rPr>
                    <w:t>。</w:t>
                  </w:r>
                </w:p>
              </w:tc>
            </w:tr>
            <w:tr w14:paraId="3E87BF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260" w:type="pct"/>
                  <w:shd w:val="clear" w:color="auto" w:fill="auto"/>
                  <w:vAlign w:val="center"/>
                </w:tcPr>
                <w:p w14:paraId="27707DDE">
                  <w:pPr>
                    <w:numPr>
                      <w:ilvl w:val="0"/>
                      <w:numId w:val="0"/>
                    </w:numPr>
                    <w:spacing w:line="440" w:lineRule="exact"/>
                    <w:ind w:leftChars="0"/>
                    <w:jc w:val="center"/>
                    <w:rPr>
                      <w:rFonts w:hint="default" w:eastAsia="宋体"/>
                      <w:color w:val="auto"/>
                      <w:spacing w:val="20"/>
                      <w:szCs w:val="21"/>
                      <w:highlight w:val="none"/>
                      <w:lang w:val="en-US" w:eastAsia="zh-CN"/>
                    </w:rPr>
                  </w:pPr>
                  <w:r>
                    <w:rPr>
                      <w:rFonts w:hint="eastAsia"/>
                      <w:color w:val="auto"/>
                      <w:spacing w:val="20"/>
                      <w:szCs w:val="21"/>
                      <w:highlight w:val="none"/>
                      <w:lang w:val="en-US" w:eastAsia="zh-CN"/>
                    </w:rPr>
                    <w:t>5</w:t>
                  </w:r>
                </w:p>
              </w:tc>
              <w:tc>
                <w:tcPr>
                  <w:tcW w:w="596" w:type="pct"/>
                  <w:shd w:val="clear" w:color="auto" w:fill="auto"/>
                  <w:vAlign w:val="center"/>
                </w:tcPr>
                <w:p w14:paraId="06B289F5">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lang w:val="en-US" w:eastAsia="zh-CN"/>
                    </w:rPr>
                    <w:t>色粉</w:t>
                  </w:r>
                </w:p>
              </w:tc>
              <w:tc>
                <w:tcPr>
                  <w:tcW w:w="4143" w:type="pct"/>
                  <w:tcBorders>
                    <w:right w:val="single" w:color="auto" w:sz="4" w:space="0"/>
                  </w:tcBorders>
                  <w:shd w:val="clear" w:color="auto" w:fill="auto"/>
                  <w:vAlign w:val="center"/>
                </w:tcPr>
                <w:p w14:paraId="768ADC45">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 w:val="21"/>
                      <w:szCs w:val="21"/>
                      <w:highlight w:val="none"/>
                    </w:rPr>
                    <w:t>主要成分是碳氢化合物90%和活性剂10%（挥发性成分为100%）</w:t>
                  </w:r>
                  <w:r>
                    <w:rPr>
                      <w:rFonts w:hint="eastAsia" w:ascii="Times New Roman" w:hAnsi="Times New Roman" w:eastAsia="宋体"/>
                      <w:color w:val="auto"/>
                      <w:sz w:val="21"/>
                      <w:szCs w:val="21"/>
                      <w:highlight w:val="none"/>
                      <w:lang w:eastAsia="zh-CN"/>
                    </w:rPr>
                    <w:t>，</w:t>
                  </w:r>
                  <w:r>
                    <w:rPr>
                      <w:rFonts w:hint="eastAsia" w:ascii="Times New Roman" w:hAnsi="Times New Roman" w:eastAsia="宋体"/>
                      <w:color w:val="auto"/>
                      <w:sz w:val="21"/>
                      <w:szCs w:val="21"/>
                      <w:highlight w:val="none"/>
                      <w:lang w:val="en-US" w:eastAsia="zh-CN"/>
                    </w:rPr>
                    <w:t>密度为0.8g/cm³</w:t>
                  </w:r>
                  <w:r>
                    <w:rPr>
                      <w:rFonts w:hint="eastAsia"/>
                      <w:color w:val="auto"/>
                      <w:sz w:val="21"/>
                      <w:szCs w:val="21"/>
                      <w:highlight w:val="none"/>
                      <w:lang w:val="en-US" w:eastAsia="zh-CN"/>
                    </w:rPr>
                    <w:t>，则VOC含量为800g/L，符合《</w:t>
                  </w:r>
                  <w:r>
                    <w:rPr>
                      <w:rFonts w:hint="eastAsia"/>
                      <w:color w:val="auto"/>
                      <w:highlight w:val="none"/>
                      <w:lang w:val="en-US" w:eastAsia="zh-CN"/>
                    </w:rPr>
                    <w:t>清洗剂挥发性有机化合物含量限值》（GB 38508-2020）中有机溶剂清洗剂≤900g/L限值</w:t>
                  </w:r>
                  <w:r>
                    <w:rPr>
                      <w:rFonts w:hint="eastAsia" w:ascii="Times New Roman" w:hAnsi="Times New Roman" w:eastAsia="宋体"/>
                      <w:color w:val="auto"/>
                      <w:sz w:val="21"/>
                      <w:szCs w:val="21"/>
                      <w:highlight w:val="none"/>
                    </w:rPr>
                    <w:t>。洗网水具有很强的清洁油墨功能，无毒、无味、易燃，存放安全。洗网水用于清洁印刷设备，清洁时候用废抹布蘸取洗网水擦洗。</w:t>
                  </w:r>
                </w:p>
              </w:tc>
            </w:tr>
          </w:tbl>
          <w:p w14:paraId="3CED363E">
            <w:pPr>
              <w:adjustRightInd w:val="0"/>
              <w:snapToGrid w:val="0"/>
              <w:spacing w:line="360" w:lineRule="auto"/>
              <w:ind w:firstLine="482" w:firstLineChars="200"/>
              <w:rPr>
                <w:b/>
                <w:color w:val="auto"/>
                <w:sz w:val="24"/>
                <w:highlight w:val="none"/>
              </w:rPr>
            </w:pPr>
            <w:r>
              <w:rPr>
                <w:rFonts w:hint="eastAsia"/>
                <w:b/>
                <w:color w:val="auto"/>
                <w:sz w:val="24"/>
                <w:highlight w:val="none"/>
              </w:rPr>
              <w:t>4、</w:t>
            </w:r>
            <w:r>
              <w:rPr>
                <w:b/>
                <w:color w:val="auto"/>
                <w:sz w:val="24"/>
                <w:highlight w:val="none"/>
              </w:rPr>
              <w:t>主要设备</w:t>
            </w:r>
          </w:p>
          <w:p w14:paraId="324B8960">
            <w:pPr>
              <w:pStyle w:val="95"/>
              <w:spacing w:before="120"/>
              <w:rPr>
                <w:b/>
                <w:color w:val="auto"/>
                <w:kern w:val="2"/>
                <w:sz w:val="21"/>
                <w:highlight w:val="none"/>
              </w:rPr>
            </w:pPr>
            <w:r>
              <w:rPr>
                <w:b/>
                <w:color w:val="auto"/>
                <w:kern w:val="2"/>
                <w:sz w:val="21"/>
                <w:highlight w:val="none"/>
              </w:rPr>
              <w:t>主要设备一览表</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29"/>
              <w:gridCol w:w="1697"/>
              <w:gridCol w:w="1466"/>
              <w:gridCol w:w="1175"/>
              <w:gridCol w:w="1685"/>
              <w:gridCol w:w="2177"/>
            </w:tblGrid>
            <w:tr w14:paraId="48DB8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97" w:hRule="atLeast"/>
                <w:jc w:val="center"/>
              </w:trPr>
              <w:tc>
                <w:tcPr>
                  <w:tcW w:w="629" w:type="dxa"/>
                  <w:shd w:val="clear" w:color="auto" w:fill="auto"/>
                  <w:vAlign w:val="center"/>
                </w:tcPr>
                <w:p w14:paraId="3DDA4D66">
                  <w:pPr>
                    <w:tabs>
                      <w:tab w:val="left" w:pos="0"/>
                    </w:tabs>
                    <w:spacing w:line="440" w:lineRule="exact"/>
                    <w:jc w:val="center"/>
                    <w:rPr>
                      <w:b/>
                      <w:bCs/>
                      <w:color w:val="auto"/>
                      <w:szCs w:val="21"/>
                      <w:highlight w:val="none"/>
                    </w:rPr>
                  </w:pPr>
                  <w:r>
                    <w:rPr>
                      <w:b/>
                      <w:bCs/>
                      <w:color w:val="auto"/>
                      <w:szCs w:val="21"/>
                      <w:highlight w:val="none"/>
                    </w:rPr>
                    <w:t>序号</w:t>
                  </w:r>
                </w:p>
              </w:tc>
              <w:tc>
                <w:tcPr>
                  <w:tcW w:w="1697" w:type="dxa"/>
                  <w:shd w:val="clear" w:color="auto" w:fill="auto"/>
                  <w:vAlign w:val="center"/>
                </w:tcPr>
                <w:p w14:paraId="43F054BD">
                  <w:pPr>
                    <w:tabs>
                      <w:tab w:val="left" w:pos="0"/>
                    </w:tabs>
                    <w:spacing w:line="440" w:lineRule="exact"/>
                    <w:jc w:val="center"/>
                    <w:rPr>
                      <w:b/>
                      <w:bCs/>
                      <w:color w:val="auto"/>
                      <w:szCs w:val="21"/>
                      <w:highlight w:val="none"/>
                    </w:rPr>
                  </w:pPr>
                  <w:r>
                    <w:rPr>
                      <w:b/>
                      <w:bCs/>
                      <w:color w:val="auto"/>
                      <w:szCs w:val="21"/>
                      <w:highlight w:val="none"/>
                    </w:rPr>
                    <w:t>设备名称</w:t>
                  </w:r>
                </w:p>
              </w:tc>
              <w:tc>
                <w:tcPr>
                  <w:tcW w:w="1466" w:type="dxa"/>
                  <w:shd w:val="clear" w:color="auto" w:fill="auto"/>
                  <w:vAlign w:val="center"/>
                </w:tcPr>
                <w:p w14:paraId="6737E2FC">
                  <w:pPr>
                    <w:tabs>
                      <w:tab w:val="left" w:pos="0"/>
                    </w:tabs>
                    <w:spacing w:line="440" w:lineRule="exact"/>
                    <w:jc w:val="center"/>
                    <w:rPr>
                      <w:b/>
                      <w:bCs/>
                      <w:color w:val="auto"/>
                      <w:szCs w:val="21"/>
                      <w:highlight w:val="none"/>
                    </w:rPr>
                  </w:pPr>
                  <w:r>
                    <w:rPr>
                      <w:b/>
                      <w:bCs/>
                      <w:color w:val="auto"/>
                      <w:szCs w:val="21"/>
                      <w:highlight w:val="none"/>
                    </w:rPr>
                    <w:t>设备型号</w:t>
                  </w:r>
                </w:p>
              </w:tc>
              <w:tc>
                <w:tcPr>
                  <w:tcW w:w="1175" w:type="dxa"/>
                  <w:shd w:val="clear" w:color="auto" w:fill="auto"/>
                  <w:vAlign w:val="center"/>
                </w:tcPr>
                <w:p w14:paraId="181E93FA">
                  <w:pPr>
                    <w:tabs>
                      <w:tab w:val="left" w:pos="0"/>
                    </w:tabs>
                    <w:spacing w:line="440" w:lineRule="exact"/>
                    <w:jc w:val="center"/>
                    <w:rPr>
                      <w:b/>
                      <w:bCs/>
                      <w:color w:val="auto"/>
                      <w:szCs w:val="21"/>
                      <w:highlight w:val="none"/>
                    </w:rPr>
                  </w:pPr>
                  <w:r>
                    <w:rPr>
                      <w:b/>
                      <w:bCs/>
                      <w:color w:val="auto"/>
                      <w:szCs w:val="21"/>
                      <w:highlight w:val="none"/>
                    </w:rPr>
                    <w:t>数量</w:t>
                  </w:r>
                </w:p>
              </w:tc>
              <w:tc>
                <w:tcPr>
                  <w:tcW w:w="1685" w:type="dxa"/>
                  <w:shd w:val="clear" w:color="auto" w:fill="auto"/>
                  <w:vAlign w:val="center"/>
                </w:tcPr>
                <w:p w14:paraId="394F5A94">
                  <w:pPr>
                    <w:tabs>
                      <w:tab w:val="left" w:pos="0"/>
                    </w:tabs>
                    <w:spacing w:line="440" w:lineRule="exact"/>
                    <w:jc w:val="center"/>
                    <w:rPr>
                      <w:b/>
                      <w:bCs/>
                      <w:color w:val="auto"/>
                      <w:szCs w:val="21"/>
                      <w:highlight w:val="none"/>
                    </w:rPr>
                  </w:pPr>
                  <w:r>
                    <w:rPr>
                      <w:b/>
                      <w:bCs/>
                      <w:color w:val="auto"/>
                      <w:szCs w:val="21"/>
                      <w:highlight w:val="none"/>
                    </w:rPr>
                    <w:t>使用工序或说明</w:t>
                  </w:r>
                </w:p>
              </w:tc>
              <w:tc>
                <w:tcPr>
                  <w:tcW w:w="2177" w:type="dxa"/>
                  <w:shd w:val="clear" w:color="auto" w:fill="auto"/>
                  <w:vAlign w:val="center"/>
                </w:tcPr>
                <w:p w14:paraId="15A48FDB">
                  <w:pPr>
                    <w:tabs>
                      <w:tab w:val="left" w:pos="0"/>
                    </w:tabs>
                    <w:spacing w:line="440" w:lineRule="exact"/>
                    <w:jc w:val="center"/>
                    <w:rPr>
                      <w:rFonts w:hint="eastAsia"/>
                      <w:b/>
                      <w:bCs/>
                      <w:color w:val="auto"/>
                      <w:szCs w:val="21"/>
                      <w:highlight w:val="none"/>
                    </w:rPr>
                  </w:pPr>
                  <w:r>
                    <w:rPr>
                      <w:rFonts w:hint="eastAsia"/>
                      <w:b/>
                      <w:bCs/>
                      <w:color w:val="auto"/>
                      <w:szCs w:val="21"/>
                      <w:highlight w:val="none"/>
                    </w:rPr>
                    <w:t>备注</w:t>
                  </w:r>
                </w:p>
              </w:tc>
            </w:tr>
            <w:tr w14:paraId="63A36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460AC22F">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1</w:t>
                  </w:r>
                </w:p>
              </w:tc>
              <w:tc>
                <w:tcPr>
                  <w:tcW w:w="1697" w:type="dxa"/>
                  <w:shd w:val="clear" w:color="auto" w:fill="auto"/>
                  <w:vAlign w:val="center"/>
                </w:tcPr>
                <w:p w14:paraId="7396400B">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eastAsia"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冲床</w:t>
                  </w:r>
                </w:p>
              </w:tc>
              <w:tc>
                <w:tcPr>
                  <w:tcW w:w="1466" w:type="dxa"/>
                  <w:shd w:val="clear" w:color="auto" w:fill="auto"/>
                  <w:vAlign w:val="center"/>
                </w:tcPr>
                <w:p w14:paraId="1061628E">
                  <w:pPr>
                    <w:numPr>
                      <w:ilvl w:val="0"/>
                      <w:numId w:val="0"/>
                    </w:numPr>
                    <w:ind w:left="0" w:leftChars="0" w:firstLine="0" w:firstLineChars="0"/>
                    <w:jc w:val="center"/>
                    <w:rPr>
                      <w:rFonts w:hint="eastAsia" w:ascii="Times New Roman" w:hAnsi="Times New Roman" w:eastAsia="宋体" w:cs="Times New Roman"/>
                      <w:b w:val="0"/>
                      <w:bCs/>
                      <w:color w:val="auto"/>
                      <w:kern w:val="2"/>
                      <w:sz w:val="21"/>
                      <w:szCs w:val="21"/>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5CA6D8DB">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20台</w:t>
                  </w:r>
                </w:p>
              </w:tc>
              <w:tc>
                <w:tcPr>
                  <w:tcW w:w="1685" w:type="dxa"/>
                  <w:shd w:val="clear" w:color="auto" w:fill="auto"/>
                  <w:vAlign w:val="center"/>
                </w:tcPr>
                <w:p w14:paraId="65EF1871">
                  <w:pPr>
                    <w:pStyle w:val="86"/>
                    <w:numPr>
                      <w:ilvl w:val="0"/>
                      <w:numId w:val="0"/>
                    </w:numPr>
                    <w:ind w:left="0" w:leftChars="0" w:firstLine="0" w:firstLineChars="0"/>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7F5EDFC2">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w:t>
                  </w:r>
                </w:p>
              </w:tc>
            </w:tr>
            <w:tr w14:paraId="6878E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3B7A434D">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2</w:t>
                  </w:r>
                </w:p>
              </w:tc>
              <w:tc>
                <w:tcPr>
                  <w:tcW w:w="1697" w:type="dxa"/>
                  <w:shd w:val="clear" w:color="auto" w:fill="auto"/>
                  <w:vAlign w:val="center"/>
                </w:tcPr>
                <w:p w14:paraId="7C1784B6">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点焊机</w:t>
                  </w:r>
                </w:p>
              </w:tc>
              <w:tc>
                <w:tcPr>
                  <w:tcW w:w="1466" w:type="dxa"/>
                  <w:shd w:val="clear" w:color="auto" w:fill="auto"/>
                  <w:vAlign w:val="center"/>
                </w:tcPr>
                <w:p w14:paraId="6EB29E30">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0ED845D3">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6台</w:t>
                  </w:r>
                </w:p>
              </w:tc>
              <w:tc>
                <w:tcPr>
                  <w:tcW w:w="1685" w:type="dxa"/>
                  <w:shd w:val="clear" w:color="auto" w:fill="auto"/>
                  <w:vAlign w:val="center"/>
                </w:tcPr>
                <w:p w14:paraId="6076C5A5">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2177" w:type="dxa"/>
                  <w:shd w:val="clear" w:color="auto" w:fill="auto"/>
                  <w:vAlign w:val="center"/>
                </w:tcPr>
                <w:p w14:paraId="40F9906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lang w:val="en-US" w:eastAsia="zh-CN"/>
                    </w:rPr>
                    <w:t>/</w:t>
                  </w:r>
                </w:p>
              </w:tc>
            </w:tr>
            <w:tr w14:paraId="3027E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5D4F0A45">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3</w:t>
                  </w:r>
                </w:p>
              </w:tc>
              <w:tc>
                <w:tcPr>
                  <w:tcW w:w="1697" w:type="dxa"/>
                  <w:shd w:val="clear" w:color="auto" w:fill="auto"/>
                  <w:vAlign w:val="center"/>
                </w:tcPr>
                <w:p w14:paraId="6AA24435">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eastAsia"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超声波塑焊机</w:t>
                  </w:r>
                </w:p>
              </w:tc>
              <w:tc>
                <w:tcPr>
                  <w:tcW w:w="1466" w:type="dxa"/>
                  <w:shd w:val="clear" w:color="auto" w:fill="auto"/>
                  <w:vAlign w:val="center"/>
                </w:tcPr>
                <w:p w14:paraId="4056812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7877B0EA">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6台</w:t>
                  </w:r>
                </w:p>
              </w:tc>
              <w:tc>
                <w:tcPr>
                  <w:tcW w:w="1685" w:type="dxa"/>
                  <w:shd w:val="clear" w:color="auto" w:fill="auto"/>
                  <w:vAlign w:val="center"/>
                </w:tcPr>
                <w:p w14:paraId="516152E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05DDE43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23969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74676A7A">
                  <w:pPr>
                    <w:numPr>
                      <w:ilvl w:val="0"/>
                      <w:numId w:val="0"/>
                    </w:numPr>
                    <w:spacing w:line="440" w:lineRule="exact"/>
                    <w:ind w:left="0" w:leftChars="0" w:firstLine="0" w:firstLineChars="0"/>
                    <w:jc w:val="center"/>
                    <w:rPr>
                      <w:rFonts w:hint="default"/>
                      <w:color w:val="auto"/>
                      <w:spacing w:val="20"/>
                      <w:szCs w:val="21"/>
                      <w:highlight w:val="none"/>
                      <w:lang w:val="en-US" w:eastAsia="zh-CN"/>
                    </w:rPr>
                  </w:pPr>
                  <w:r>
                    <w:rPr>
                      <w:rFonts w:hint="eastAsia"/>
                      <w:color w:val="auto"/>
                      <w:spacing w:val="20"/>
                      <w:szCs w:val="21"/>
                      <w:highlight w:val="none"/>
                      <w:lang w:val="en-US" w:eastAsia="zh-CN"/>
                    </w:rPr>
                    <w:t>4</w:t>
                  </w:r>
                </w:p>
              </w:tc>
              <w:tc>
                <w:tcPr>
                  <w:tcW w:w="1697" w:type="dxa"/>
                  <w:shd w:val="clear" w:color="auto" w:fill="auto"/>
                  <w:vAlign w:val="center"/>
                </w:tcPr>
                <w:p w14:paraId="545CF41B">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点胶机</w:t>
                  </w:r>
                </w:p>
              </w:tc>
              <w:tc>
                <w:tcPr>
                  <w:tcW w:w="1466" w:type="dxa"/>
                  <w:shd w:val="clear" w:color="auto" w:fill="auto"/>
                  <w:vAlign w:val="center"/>
                </w:tcPr>
                <w:p w14:paraId="5C1792C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7D283A18">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6台</w:t>
                  </w:r>
                </w:p>
              </w:tc>
              <w:tc>
                <w:tcPr>
                  <w:tcW w:w="1685" w:type="dxa"/>
                  <w:shd w:val="clear" w:color="auto" w:fill="auto"/>
                  <w:vAlign w:val="center"/>
                </w:tcPr>
                <w:p w14:paraId="2373AB56">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点胶</w:t>
                  </w:r>
                </w:p>
              </w:tc>
              <w:tc>
                <w:tcPr>
                  <w:tcW w:w="2177" w:type="dxa"/>
                  <w:shd w:val="clear" w:color="auto" w:fill="auto"/>
                  <w:vAlign w:val="center"/>
                </w:tcPr>
                <w:p w14:paraId="261E747F">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6A2B8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53334B9C">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5</w:t>
                  </w:r>
                </w:p>
              </w:tc>
              <w:tc>
                <w:tcPr>
                  <w:tcW w:w="1697" w:type="dxa"/>
                  <w:shd w:val="clear" w:color="auto" w:fill="auto"/>
                  <w:vAlign w:val="center"/>
                </w:tcPr>
                <w:p w14:paraId="3E45ED0D">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破碎机</w:t>
                  </w:r>
                </w:p>
              </w:tc>
              <w:tc>
                <w:tcPr>
                  <w:tcW w:w="1466" w:type="dxa"/>
                  <w:shd w:val="clear" w:color="auto" w:fill="auto"/>
                  <w:vAlign w:val="center"/>
                </w:tcPr>
                <w:p w14:paraId="6B4BDC9A">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2B5400B0">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2台</w:t>
                  </w:r>
                </w:p>
              </w:tc>
              <w:tc>
                <w:tcPr>
                  <w:tcW w:w="1685" w:type="dxa"/>
                  <w:shd w:val="clear" w:color="auto" w:fill="auto"/>
                  <w:vAlign w:val="center"/>
                </w:tcPr>
                <w:p w14:paraId="55B24BAD">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50042CD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74189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13F9EC01">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6</w:t>
                  </w:r>
                </w:p>
              </w:tc>
              <w:tc>
                <w:tcPr>
                  <w:tcW w:w="1697" w:type="dxa"/>
                  <w:shd w:val="clear" w:color="auto" w:fill="auto"/>
                  <w:vAlign w:val="center"/>
                </w:tcPr>
                <w:p w14:paraId="76291429">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混色机</w:t>
                  </w:r>
                </w:p>
              </w:tc>
              <w:tc>
                <w:tcPr>
                  <w:tcW w:w="1466" w:type="dxa"/>
                  <w:shd w:val="clear" w:color="auto" w:fill="auto"/>
                  <w:vAlign w:val="center"/>
                </w:tcPr>
                <w:p w14:paraId="3663ECD3">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2D346383">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2台</w:t>
                  </w:r>
                </w:p>
              </w:tc>
              <w:tc>
                <w:tcPr>
                  <w:tcW w:w="1685" w:type="dxa"/>
                  <w:shd w:val="clear" w:color="auto" w:fill="auto"/>
                  <w:vAlign w:val="center"/>
                </w:tcPr>
                <w:p w14:paraId="571787D7">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665B439F">
                  <w:pPr>
                    <w:jc w:val="center"/>
                    <w:rPr>
                      <w:rFonts w:hint="eastAsia" w:ascii="Times New Roman" w:hAnsi="Times New Roman" w:eastAsia="宋体" w:cs="Times New Roman"/>
                      <w:color w:val="auto"/>
                      <w:kern w:val="2"/>
                      <w:sz w:val="21"/>
                      <w:szCs w:val="21"/>
                      <w:highlight w:val="none"/>
                      <w:lang w:val="en-US" w:eastAsia="zh-CN" w:bidi="ar-SA"/>
                    </w:rPr>
                  </w:pPr>
                  <w:bookmarkStart w:id="5" w:name="OLE_LINK1"/>
                  <w:r>
                    <w:rPr>
                      <w:rFonts w:hint="eastAsia"/>
                      <w:color w:val="auto"/>
                      <w:szCs w:val="21"/>
                      <w:highlight w:val="none"/>
                    </w:rPr>
                    <w:t>/</w:t>
                  </w:r>
                  <w:bookmarkEnd w:id="5"/>
                </w:p>
              </w:tc>
            </w:tr>
            <w:tr w14:paraId="7B913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3254BC67">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7</w:t>
                  </w:r>
                </w:p>
              </w:tc>
              <w:tc>
                <w:tcPr>
                  <w:tcW w:w="1697" w:type="dxa"/>
                  <w:shd w:val="clear" w:color="auto" w:fill="auto"/>
                  <w:vAlign w:val="center"/>
                </w:tcPr>
                <w:p w14:paraId="323E068D">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端子机</w:t>
                  </w:r>
                </w:p>
              </w:tc>
              <w:tc>
                <w:tcPr>
                  <w:tcW w:w="1466" w:type="dxa"/>
                  <w:shd w:val="clear" w:color="auto" w:fill="auto"/>
                  <w:vAlign w:val="center"/>
                </w:tcPr>
                <w:p w14:paraId="1BC63C95">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0A5E5A99">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20台</w:t>
                  </w:r>
                </w:p>
              </w:tc>
              <w:tc>
                <w:tcPr>
                  <w:tcW w:w="1685" w:type="dxa"/>
                  <w:shd w:val="clear" w:color="auto" w:fill="auto"/>
                  <w:vAlign w:val="center"/>
                </w:tcPr>
                <w:p w14:paraId="03DEC201">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1F823FF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17A22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1F6DC507">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8</w:t>
                  </w:r>
                </w:p>
              </w:tc>
              <w:tc>
                <w:tcPr>
                  <w:tcW w:w="1697" w:type="dxa"/>
                  <w:shd w:val="clear" w:color="auto" w:fill="auto"/>
                  <w:vAlign w:val="center"/>
                </w:tcPr>
                <w:p w14:paraId="6277CDB0">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铆接机</w:t>
                  </w:r>
                </w:p>
              </w:tc>
              <w:tc>
                <w:tcPr>
                  <w:tcW w:w="1466" w:type="dxa"/>
                  <w:shd w:val="clear" w:color="auto" w:fill="auto"/>
                  <w:vAlign w:val="center"/>
                </w:tcPr>
                <w:p w14:paraId="5ACC9817">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4B0FDF8C">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6台</w:t>
                  </w:r>
                </w:p>
              </w:tc>
              <w:tc>
                <w:tcPr>
                  <w:tcW w:w="1685" w:type="dxa"/>
                  <w:shd w:val="clear" w:color="auto" w:fill="auto"/>
                  <w:vAlign w:val="center"/>
                </w:tcPr>
                <w:p w14:paraId="6E31119E">
                  <w:pPr>
                    <w:jc w:val="center"/>
                    <w:rPr>
                      <w:rFonts w:hint="default" w:cs="Times New Roman"/>
                      <w:color w:val="auto"/>
                      <w:szCs w:val="21"/>
                      <w:highlight w:val="none"/>
                      <w:lang w:val="en-US" w:eastAsia="zh-CN"/>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5488FEE1">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5ED56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57DE3771">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9</w:t>
                  </w:r>
                </w:p>
              </w:tc>
              <w:tc>
                <w:tcPr>
                  <w:tcW w:w="1697" w:type="dxa"/>
                  <w:shd w:val="clear" w:color="auto" w:fill="auto"/>
                  <w:vAlign w:val="center"/>
                </w:tcPr>
                <w:p w14:paraId="6FC40FFC">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剥线机</w:t>
                  </w:r>
                </w:p>
              </w:tc>
              <w:tc>
                <w:tcPr>
                  <w:tcW w:w="1466" w:type="dxa"/>
                  <w:shd w:val="clear" w:color="auto" w:fill="auto"/>
                  <w:vAlign w:val="center"/>
                </w:tcPr>
                <w:p w14:paraId="6B95AD39">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4C7E91CA">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10台</w:t>
                  </w:r>
                </w:p>
              </w:tc>
              <w:tc>
                <w:tcPr>
                  <w:tcW w:w="1685" w:type="dxa"/>
                  <w:shd w:val="clear" w:color="auto" w:fill="auto"/>
                  <w:vAlign w:val="center"/>
                </w:tcPr>
                <w:p w14:paraId="05DF2D99">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51EC2E9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4B172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dxa"/>
                  <w:shd w:val="clear" w:color="auto" w:fill="auto"/>
                  <w:vAlign w:val="center"/>
                </w:tcPr>
                <w:p w14:paraId="0517F57E">
                  <w:pPr>
                    <w:numPr>
                      <w:ilvl w:val="0"/>
                      <w:numId w:val="0"/>
                    </w:numPr>
                    <w:spacing w:line="440" w:lineRule="exact"/>
                    <w:ind w:left="0" w:leftChars="0" w:firstLine="0" w:firstLineChars="0"/>
                    <w:jc w:val="center"/>
                    <w:rPr>
                      <w:rFonts w:hint="eastAsia" w:ascii="Times New Roman" w:hAnsi="Times New Roman" w:eastAsia="宋体" w:cs="Times New Roman"/>
                      <w:color w:val="auto"/>
                      <w:spacing w:val="20"/>
                      <w:kern w:val="2"/>
                      <w:sz w:val="21"/>
                      <w:szCs w:val="21"/>
                      <w:highlight w:val="none"/>
                      <w:lang w:val="en-US" w:eastAsia="zh-CN" w:bidi="ar-SA"/>
                    </w:rPr>
                  </w:pPr>
                  <w:r>
                    <w:rPr>
                      <w:rFonts w:hint="eastAsia"/>
                      <w:color w:val="auto"/>
                      <w:spacing w:val="20"/>
                      <w:szCs w:val="21"/>
                      <w:highlight w:val="none"/>
                      <w:lang w:val="en-US" w:eastAsia="zh-CN"/>
                    </w:rPr>
                    <w:t>10</w:t>
                  </w:r>
                </w:p>
              </w:tc>
              <w:tc>
                <w:tcPr>
                  <w:tcW w:w="1697" w:type="dxa"/>
                  <w:shd w:val="clear" w:color="auto" w:fill="auto"/>
                  <w:vAlign w:val="center"/>
                </w:tcPr>
                <w:p w14:paraId="46CCF55A">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铜带机</w:t>
                  </w:r>
                </w:p>
              </w:tc>
              <w:tc>
                <w:tcPr>
                  <w:tcW w:w="1466" w:type="dxa"/>
                  <w:shd w:val="clear" w:color="auto" w:fill="auto"/>
                  <w:vAlign w:val="center"/>
                </w:tcPr>
                <w:p w14:paraId="53B496C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1E51C5F3">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10台</w:t>
                  </w:r>
                </w:p>
              </w:tc>
              <w:tc>
                <w:tcPr>
                  <w:tcW w:w="1685" w:type="dxa"/>
                  <w:shd w:val="clear" w:color="auto" w:fill="auto"/>
                  <w:vAlign w:val="center"/>
                </w:tcPr>
                <w:p w14:paraId="5A9C7888">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2177" w:type="dxa"/>
                  <w:shd w:val="clear" w:color="auto" w:fill="auto"/>
                  <w:vAlign w:val="center"/>
                </w:tcPr>
                <w:p w14:paraId="7EAE3ED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5BD8C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7A8BF1C0">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11</w:t>
                  </w:r>
                </w:p>
              </w:tc>
              <w:tc>
                <w:tcPr>
                  <w:tcW w:w="1697" w:type="dxa"/>
                  <w:shd w:val="clear" w:color="auto" w:fill="auto"/>
                  <w:vAlign w:val="center"/>
                </w:tcPr>
                <w:p w14:paraId="0B936B93">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立式</w:t>
                  </w:r>
                  <w:r>
                    <w:rPr>
                      <w:rFonts w:hint="eastAsia" w:ascii="Times New Roman" w:hAnsi="Times New Roman" w:cs="Times New Roman"/>
                      <w:color w:val="000000"/>
                      <w:highlight w:val="none"/>
                      <w:lang w:val="en-US" w:eastAsia="zh-CN"/>
                    </w:rPr>
                    <w:t>烘干注塑一体机</w:t>
                  </w:r>
                </w:p>
              </w:tc>
              <w:tc>
                <w:tcPr>
                  <w:tcW w:w="1466" w:type="dxa"/>
                  <w:shd w:val="clear" w:color="auto" w:fill="auto"/>
                  <w:vAlign w:val="center"/>
                </w:tcPr>
                <w:p w14:paraId="7137342C">
                  <w:pPr>
                    <w:pStyle w:val="113"/>
                    <w:keepNext w:val="0"/>
                    <w:keepLines w:val="0"/>
                    <w:pageBreakBefore w:val="0"/>
                    <w:widowControl w:val="0"/>
                    <w:kinsoku/>
                    <w:wordWrap/>
                    <w:overflowPunct/>
                    <w:topLinePunct w:val="0"/>
                    <w:autoSpaceDE/>
                    <w:autoSpaceDN/>
                    <w:bidi w:val="0"/>
                    <w:adjustRightInd/>
                    <w:snapToGrid/>
                    <w:spacing w:beforeLines="0" w:afterLines="0" w:line="240" w:lineRule="auto"/>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25T</w:t>
                  </w:r>
                </w:p>
              </w:tc>
              <w:tc>
                <w:tcPr>
                  <w:tcW w:w="1175" w:type="dxa"/>
                  <w:shd w:val="clear" w:color="auto" w:fill="auto"/>
                  <w:vAlign w:val="center"/>
                </w:tcPr>
                <w:p w14:paraId="63EFC2FA">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6台</w:t>
                  </w:r>
                </w:p>
              </w:tc>
              <w:tc>
                <w:tcPr>
                  <w:tcW w:w="1685" w:type="dxa"/>
                  <w:vMerge w:val="restart"/>
                  <w:shd w:val="clear" w:color="auto" w:fill="auto"/>
                  <w:vAlign w:val="center"/>
                </w:tcPr>
                <w:p w14:paraId="1DA57AD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注塑</w:t>
                  </w:r>
                </w:p>
              </w:tc>
              <w:tc>
                <w:tcPr>
                  <w:tcW w:w="0" w:type="auto"/>
                  <w:shd w:val="clear" w:color="auto" w:fill="auto"/>
                  <w:vAlign w:val="center"/>
                </w:tcPr>
                <w:p w14:paraId="1C6A5E7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51DF9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02984E43">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12</w:t>
                  </w:r>
                </w:p>
              </w:tc>
              <w:tc>
                <w:tcPr>
                  <w:tcW w:w="1697" w:type="dxa"/>
                  <w:shd w:val="clear" w:color="auto" w:fill="auto"/>
                  <w:vAlign w:val="center"/>
                </w:tcPr>
                <w:p w14:paraId="2AE6393C">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卧式</w:t>
                  </w:r>
                  <w:r>
                    <w:rPr>
                      <w:rFonts w:hint="eastAsia" w:ascii="Times New Roman" w:hAnsi="Times New Roman" w:cs="Times New Roman"/>
                      <w:color w:val="000000"/>
                      <w:highlight w:val="none"/>
                      <w:lang w:val="en-US" w:eastAsia="zh-CN"/>
                    </w:rPr>
                    <w:t>烘干注塑一体机</w:t>
                  </w:r>
                </w:p>
              </w:tc>
              <w:tc>
                <w:tcPr>
                  <w:tcW w:w="1466" w:type="dxa"/>
                  <w:shd w:val="clear" w:color="auto" w:fill="auto"/>
                  <w:vAlign w:val="center"/>
                </w:tcPr>
                <w:p w14:paraId="374F39E3">
                  <w:pPr>
                    <w:pStyle w:val="113"/>
                    <w:keepNext w:val="0"/>
                    <w:keepLines w:val="0"/>
                    <w:pageBreakBefore w:val="0"/>
                    <w:widowControl w:val="0"/>
                    <w:kinsoku/>
                    <w:wordWrap/>
                    <w:overflowPunct/>
                    <w:topLinePunct w:val="0"/>
                    <w:autoSpaceDE/>
                    <w:autoSpaceDN/>
                    <w:bidi w:val="0"/>
                    <w:adjustRightInd/>
                    <w:snapToGrid/>
                    <w:spacing w:beforeLines="0" w:afterLines="0" w:line="240" w:lineRule="auto"/>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100T</w:t>
                  </w:r>
                </w:p>
              </w:tc>
              <w:tc>
                <w:tcPr>
                  <w:tcW w:w="1175" w:type="dxa"/>
                  <w:shd w:val="clear" w:color="auto" w:fill="auto"/>
                  <w:vAlign w:val="center"/>
                </w:tcPr>
                <w:p w14:paraId="16B09D6B">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10台</w:t>
                  </w:r>
                </w:p>
              </w:tc>
              <w:tc>
                <w:tcPr>
                  <w:tcW w:w="1685" w:type="dxa"/>
                  <w:vMerge w:val="continue"/>
                  <w:shd w:val="clear" w:color="auto" w:fill="auto"/>
                  <w:vAlign w:val="center"/>
                </w:tcPr>
                <w:p w14:paraId="7A78C2A0">
                  <w:pPr>
                    <w:jc w:val="center"/>
                    <w:rPr>
                      <w:rFonts w:hint="default" w:ascii="Times New Roman" w:hAnsi="Times New Roman" w:eastAsia="宋体" w:cs="Times New Roman"/>
                      <w:color w:val="auto"/>
                      <w:kern w:val="2"/>
                      <w:sz w:val="21"/>
                      <w:szCs w:val="21"/>
                      <w:highlight w:val="none"/>
                      <w:lang w:val="en-US" w:eastAsia="zh-CN" w:bidi="ar-SA"/>
                    </w:rPr>
                  </w:pPr>
                </w:p>
              </w:tc>
              <w:tc>
                <w:tcPr>
                  <w:tcW w:w="0" w:type="auto"/>
                  <w:shd w:val="clear" w:color="auto" w:fill="auto"/>
                  <w:vAlign w:val="center"/>
                </w:tcPr>
                <w:p w14:paraId="39F3516A">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5D3E8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35CD7BB9">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13</w:t>
                  </w:r>
                </w:p>
              </w:tc>
              <w:tc>
                <w:tcPr>
                  <w:tcW w:w="0" w:type="auto"/>
                  <w:shd w:val="clear" w:color="auto" w:fill="auto"/>
                  <w:vAlign w:val="center"/>
                </w:tcPr>
                <w:p w14:paraId="5CEFA4A5">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激光</w:t>
                  </w:r>
                  <w:r>
                    <w:rPr>
                      <w:rFonts w:hint="eastAsia" w:ascii="Times New Roman" w:hAnsi="Times New Roman" w:cs="Times New Roman"/>
                      <w:color w:val="000000"/>
                      <w:highlight w:val="none"/>
                      <w:lang w:val="en-US" w:eastAsia="zh-CN"/>
                    </w:rPr>
                    <w:t>打标机</w:t>
                  </w:r>
                </w:p>
              </w:tc>
              <w:tc>
                <w:tcPr>
                  <w:tcW w:w="0" w:type="auto"/>
                  <w:shd w:val="clear" w:color="auto" w:fill="auto"/>
                  <w:vAlign w:val="center"/>
                </w:tcPr>
                <w:p w14:paraId="13CF239E">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791FDA45">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2台</w:t>
                  </w:r>
                </w:p>
              </w:tc>
              <w:tc>
                <w:tcPr>
                  <w:tcW w:w="1685" w:type="dxa"/>
                  <w:shd w:val="clear" w:color="auto" w:fill="auto"/>
                  <w:vAlign w:val="center"/>
                </w:tcPr>
                <w:p w14:paraId="483369D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激光打标</w:t>
                  </w:r>
                </w:p>
              </w:tc>
              <w:tc>
                <w:tcPr>
                  <w:tcW w:w="0" w:type="auto"/>
                  <w:shd w:val="clear" w:color="auto" w:fill="auto"/>
                  <w:vAlign w:val="center"/>
                </w:tcPr>
                <w:p w14:paraId="7C0B842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47FEE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6C20C60F">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14</w:t>
                  </w:r>
                </w:p>
              </w:tc>
              <w:tc>
                <w:tcPr>
                  <w:tcW w:w="0" w:type="auto"/>
                  <w:shd w:val="clear" w:color="auto" w:fill="auto"/>
                  <w:vAlign w:val="center"/>
                </w:tcPr>
                <w:p w14:paraId="41E3C903">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超声波除尘机</w:t>
                  </w:r>
                </w:p>
              </w:tc>
              <w:tc>
                <w:tcPr>
                  <w:tcW w:w="0" w:type="auto"/>
                  <w:shd w:val="clear" w:color="auto" w:fill="auto"/>
                  <w:vAlign w:val="center"/>
                </w:tcPr>
                <w:p w14:paraId="78C8733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7ED148EE">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2台</w:t>
                  </w:r>
                </w:p>
              </w:tc>
              <w:tc>
                <w:tcPr>
                  <w:tcW w:w="1685" w:type="dxa"/>
                  <w:shd w:val="clear" w:color="auto" w:fill="auto"/>
                  <w:vAlign w:val="center"/>
                </w:tcPr>
                <w:p w14:paraId="3388F245">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配件除尘</w:t>
                  </w:r>
                </w:p>
              </w:tc>
              <w:tc>
                <w:tcPr>
                  <w:tcW w:w="0" w:type="auto"/>
                  <w:shd w:val="clear" w:color="auto" w:fill="auto"/>
                  <w:vAlign w:val="center"/>
                </w:tcPr>
                <w:p w14:paraId="3828E0E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35FBD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545B5D82">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15</w:t>
                  </w:r>
                </w:p>
              </w:tc>
              <w:tc>
                <w:tcPr>
                  <w:tcW w:w="0" w:type="auto"/>
                  <w:shd w:val="clear" w:color="auto" w:fill="auto"/>
                  <w:vAlign w:val="center"/>
                </w:tcPr>
                <w:p w14:paraId="77FC23A4">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开线机</w:t>
                  </w:r>
                </w:p>
              </w:tc>
              <w:tc>
                <w:tcPr>
                  <w:tcW w:w="0" w:type="auto"/>
                  <w:shd w:val="clear" w:color="auto" w:fill="auto"/>
                  <w:vAlign w:val="center"/>
                </w:tcPr>
                <w:p w14:paraId="02F0308B">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5CD5B601">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20台</w:t>
                  </w:r>
                </w:p>
              </w:tc>
              <w:tc>
                <w:tcPr>
                  <w:tcW w:w="1685" w:type="dxa"/>
                  <w:shd w:val="clear" w:color="auto" w:fill="auto"/>
                  <w:vAlign w:val="center"/>
                </w:tcPr>
                <w:p w14:paraId="672DDF5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c>
                <w:tcPr>
                  <w:tcW w:w="0" w:type="auto"/>
                  <w:shd w:val="clear" w:color="auto" w:fill="auto"/>
                  <w:vAlign w:val="center"/>
                </w:tcPr>
                <w:p w14:paraId="4A359BFB">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29E7B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62EE8FCB">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16</w:t>
                  </w:r>
                </w:p>
              </w:tc>
              <w:tc>
                <w:tcPr>
                  <w:tcW w:w="0" w:type="auto"/>
                  <w:shd w:val="clear" w:color="auto" w:fill="auto"/>
                  <w:vAlign w:val="center"/>
                </w:tcPr>
                <w:p w14:paraId="6ACE9427">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测试仪</w:t>
                  </w:r>
                </w:p>
              </w:tc>
              <w:tc>
                <w:tcPr>
                  <w:tcW w:w="0" w:type="auto"/>
                  <w:shd w:val="clear" w:color="auto" w:fill="auto"/>
                  <w:vAlign w:val="center"/>
                </w:tcPr>
                <w:p w14:paraId="3476ACC2">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35994856">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4台</w:t>
                  </w:r>
                </w:p>
              </w:tc>
              <w:tc>
                <w:tcPr>
                  <w:tcW w:w="1685" w:type="dxa"/>
                  <w:shd w:val="clear" w:color="auto" w:fill="auto"/>
                  <w:vAlign w:val="center"/>
                </w:tcPr>
                <w:p w14:paraId="6259C5DE">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c>
                <w:tcPr>
                  <w:tcW w:w="0" w:type="auto"/>
                  <w:shd w:val="clear" w:color="auto" w:fill="auto"/>
                  <w:vAlign w:val="center"/>
                </w:tcPr>
                <w:p w14:paraId="62DCC185">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68CD7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378E54FA">
                  <w:pPr>
                    <w:numPr>
                      <w:ilvl w:val="0"/>
                      <w:numId w:val="0"/>
                    </w:numPr>
                    <w:spacing w:line="440" w:lineRule="exact"/>
                    <w:ind w:left="0" w:leftChars="0" w:firstLine="0" w:firstLine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17</w:t>
                  </w:r>
                </w:p>
              </w:tc>
              <w:tc>
                <w:tcPr>
                  <w:tcW w:w="0" w:type="auto"/>
                  <w:shd w:val="clear" w:color="auto" w:fill="auto"/>
                  <w:vAlign w:val="center"/>
                </w:tcPr>
                <w:p w14:paraId="299C866A">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干燥箱</w:t>
                  </w:r>
                </w:p>
              </w:tc>
              <w:tc>
                <w:tcPr>
                  <w:tcW w:w="0" w:type="auto"/>
                  <w:shd w:val="clear" w:color="auto" w:fill="auto"/>
                  <w:vAlign w:val="center"/>
                </w:tcPr>
                <w:p w14:paraId="65C46CF8">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175" w:type="dxa"/>
                  <w:shd w:val="clear" w:color="auto" w:fill="auto"/>
                  <w:vAlign w:val="center"/>
                </w:tcPr>
                <w:p w14:paraId="2453471C">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4台</w:t>
                  </w:r>
                </w:p>
              </w:tc>
              <w:tc>
                <w:tcPr>
                  <w:tcW w:w="1685" w:type="dxa"/>
                  <w:shd w:val="clear" w:color="auto" w:fill="auto"/>
                  <w:vAlign w:val="center"/>
                </w:tcPr>
                <w:p w14:paraId="5FA6CF2B">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点胶烘干</w:t>
                  </w:r>
                </w:p>
              </w:tc>
              <w:tc>
                <w:tcPr>
                  <w:tcW w:w="0" w:type="auto"/>
                  <w:shd w:val="clear" w:color="auto" w:fill="auto"/>
                  <w:vAlign w:val="center"/>
                </w:tcPr>
                <w:p w14:paraId="40A401DF">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w:t>
                  </w:r>
                </w:p>
              </w:tc>
            </w:tr>
            <w:tr w14:paraId="4903D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shd w:val="clear" w:color="auto" w:fill="auto"/>
                  <w:vAlign w:val="center"/>
                </w:tcPr>
                <w:p w14:paraId="3860C199">
                  <w:pPr>
                    <w:numPr>
                      <w:ilvl w:val="0"/>
                      <w:numId w:val="0"/>
                    </w:numPr>
                    <w:spacing w:line="440" w:lineRule="exact"/>
                    <w:ind w:left="0" w:leftChars="0" w:firstLine="0" w:firstLineChars="0"/>
                    <w:jc w:val="center"/>
                    <w:rPr>
                      <w:rFonts w:hint="default" w:cs="Times New Roman"/>
                      <w:color w:val="auto"/>
                      <w:spacing w:val="20"/>
                      <w:kern w:val="2"/>
                      <w:sz w:val="21"/>
                      <w:szCs w:val="21"/>
                      <w:highlight w:val="none"/>
                      <w:lang w:val="en-US" w:eastAsia="zh-CN" w:bidi="ar-SA"/>
                    </w:rPr>
                  </w:pPr>
                  <w:r>
                    <w:rPr>
                      <w:rFonts w:hint="eastAsia" w:cs="Times New Roman"/>
                      <w:color w:val="auto"/>
                      <w:spacing w:val="20"/>
                      <w:kern w:val="2"/>
                      <w:sz w:val="21"/>
                      <w:szCs w:val="21"/>
                      <w:highlight w:val="none"/>
                      <w:lang w:val="en-US" w:eastAsia="zh-CN" w:bidi="ar-SA"/>
                    </w:rPr>
                    <w:t>18</w:t>
                  </w:r>
                </w:p>
              </w:tc>
              <w:tc>
                <w:tcPr>
                  <w:tcW w:w="0" w:type="auto"/>
                  <w:shd w:val="clear" w:color="auto" w:fill="auto"/>
                  <w:vAlign w:val="center"/>
                </w:tcPr>
                <w:p w14:paraId="4F1328BE">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cs="Times New Roman"/>
                      <w:color w:val="000000"/>
                      <w:highlight w:val="none"/>
                      <w:lang w:val="en-US" w:eastAsia="zh-CN"/>
                    </w:rPr>
                  </w:pPr>
                  <w:r>
                    <w:rPr>
                      <w:rFonts w:hint="eastAsia" w:cs="Times New Roman"/>
                      <w:color w:val="000000"/>
                      <w:highlight w:val="none"/>
                      <w:lang w:val="en-US" w:eastAsia="zh-CN"/>
                    </w:rPr>
                    <w:t>空压机</w:t>
                  </w:r>
                </w:p>
              </w:tc>
              <w:tc>
                <w:tcPr>
                  <w:tcW w:w="0" w:type="auto"/>
                  <w:shd w:val="clear" w:color="auto" w:fill="auto"/>
                  <w:vAlign w:val="center"/>
                </w:tcPr>
                <w:p w14:paraId="7611BDD2">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1175" w:type="dxa"/>
                  <w:shd w:val="clear" w:color="auto" w:fill="auto"/>
                  <w:vAlign w:val="center"/>
                </w:tcPr>
                <w:p w14:paraId="4F28F0AC">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1台</w:t>
                  </w:r>
                </w:p>
              </w:tc>
              <w:tc>
                <w:tcPr>
                  <w:tcW w:w="1685" w:type="dxa"/>
                  <w:shd w:val="clear" w:color="auto" w:fill="auto"/>
                  <w:vAlign w:val="center"/>
                </w:tcPr>
                <w:p w14:paraId="6407E8BA">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0" w:type="auto"/>
                  <w:shd w:val="clear" w:color="auto" w:fill="auto"/>
                  <w:vAlign w:val="center"/>
                </w:tcPr>
                <w:p w14:paraId="63DFA102">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bl>
          <w:p w14:paraId="121AC057">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b w:val="0"/>
                <w:bCs/>
                <w:color w:val="auto"/>
                <w:sz w:val="21"/>
                <w:szCs w:val="21"/>
                <w:highlight w:val="none"/>
                <w:lang w:val="en-US" w:eastAsia="zh-CN"/>
              </w:rPr>
            </w:pPr>
            <w:r>
              <w:rPr>
                <w:rFonts w:hint="eastAsia"/>
                <w:b w:val="0"/>
                <w:bCs/>
                <w:color w:val="auto"/>
                <w:sz w:val="21"/>
                <w:szCs w:val="21"/>
                <w:highlight w:val="none"/>
                <w:lang w:eastAsia="zh-CN"/>
              </w:rPr>
              <w:t>注：</w:t>
            </w:r>
            <w:r>
              <w:rPr>
                <w:rFonts w:hint="eastAsia"/>
                <w:b w:val="0"/>
                <w:bCs/>
                <w:color w:val="auto"/>
                <w:sz w:val="21"/>
                <w:szCs w:val="21"/>
                <w:highlight w:val="none"/>
                <w:lang w:val="en-US" w:eastAsia="zh-CN"/>
              </w:rPr>
              <w:t>1、本项目设备均以电为能源；</w:t>
            </w:r>
          </w:p>
          <w:p w14:paraId="4B97F6D8">
            <w:pPr>
              <w:keepNext w:val="0"/>
              <w:keepLines w:val="0"/>
              <w:pageBreakBefore w:val="0"/>
              <w:widowControl w:val="0"/>
              <w:numPr>
                <w:ilvl w:val="0"/>
                <w:numId w:val="9"/>
              </w:numPr>
              <w:kinsoku/>
              <w:wordWrap/>
              <w:overflowPunct/>
              <w:topLinePunct w:val="0"/>
              <w:autoSpaceDE/>
              <w:autoSpaceDN/>
              <w:bidi w:val="0"/>
              <w:adjustRightInd w:val="0"/>
              <w:snapToGrid w:val="0"/>
              <w:spacing w:line="240" w:lineRule="auto"/>
              <w:ind w:firstLine="420" w:firstLineChars="200"/>
              <w:textAlignment w:val="auto"/>
              <w:rPr>
                <w:rFonts w:hint="eastAsia"/>
                <w:b w:val="0"/>
                <w:bCs/>
                <w:color w:val="auto"/>
                <w:sz w:val="21"/>
                <w:szCs w:val="21"/>
                <w:highlight w:val="none"/>
                <w:lang w:val="en-US" w:eastAsia="zh-CN"/>
              </w:rPr>
            </w:pPr>
            <w:r>
              <w:rPr>
                <w:rFonts w:hint="eastAsia"/>
                <w:b w:val="0"/>
                <w:bCs/>
                <w:color w:val="auto"/>
                <w:sz w:val="21"/>
                <w:szCs w:val="21"/>
                <w:highlight w:val="none"/>
                <w:lang w:val="en-US" w:eastAsia="zh-CN"/>
              </w:rPr>
              <w:t>项目所用设备均不在《产业结构调整指导目录（2019年本）》</w:t>
            </w:r>
            <w:r>
              <w:rPr>
                <w:rFonts w:hint="eastAsia"/>
                <w:bCs/>
                <w:color w:val="auto"/>
                <w:szCs w:val="21"/>
                <w:highlight w:val="none"/>
              </w:rPr>
              <w:t>（2021年</w:t>
            </w:r>
            <w:r>
              <w:rPr>
                <w:bCs/>
                <w:color w:val="auto"/>
                <w:szCs w:val="21"/>
                <w:highlight w:val="none"/>
              </w:rPr>
              <w:t>修改</w:t>
            </w:r>
            <w:r>
              <w:rPr>
                <w:rFonts w:hint="eastAsia"/>
                <w:bCs/>
                <w:color w:val="auto"/>
                <w:szCs w:val="21"/>
                <w:highlight w:val="none"/>
              </w:rPr>
              <w:t>）</w:t>
            </w:r>
            <w:r>
              <w:rPr>
                <w:rFonts w:hint="eastAsia"/>
                <w:b w:val="0"/>
                <w:bCs/>
                <w:color w:val="auto"/>
                <w:sz w:val="21"/>
                <w:szCs w:val="21"/>
                <w:highlight w:val="none"/>
                <w:lang w:val="en-US" w:eastAsia="zh-CN"/>
              </w:rPr>
              <w:t>淘汰类、限制类。</w:t>
            </w:r>
          </w:p>
          <w:p w14:paraId="15349768">
            <w:pPr>
              <w:pStyle w:val="95"/>
              <w:spacing w:before="120"/>
              <w:rPr>
                <w:rFonts w:hint="default" w:ascii="Times New Roman" w:hAnsi="Times New Roman" w:cs="Times New Roman"/>
                <w:b/>
                <w:color w:val="000000"/>
                <w:kern w:val="2"/>
                <w:sz w:val="21"/>
                <w:highlight w:val="none"/>
              </w:rPr>
            </w:pPr>
            <w:r>
              <w:rPr>
                <w:rFonts w:hint="default" w:ascii="Times New Roman" w:hAnsi="Times New Roman" w:cs="Times New Roman"/>
                <w:b/>
                <w:color w:val="000000"/>
                <w:kern w:val="2"/>
                <w:sz w:val="21"/>
                <w:highlight w:val="none"/>
              </w:rPr>
              <w:t>注塑机产能核算</w:t>
            </w:r>
          </w:p>
          <w:tbl>
            <w:tblPr>
              <w:tblStyle w:val="19"/>
              <w:tblW w:w="88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770"/>
              <w:gridCol w:w="741"/>
              <w:gridCol w:w="1265"/>
              <w:gridCol w:w="726"/>
              <w:gridCol w:w="1317"/>
              <w:gridCol w:w="1129"/>
              <w:gridCol w:w="904"/>
              <w:gridCol w:w="1095"/>
            </w:tblGrid>
            <w:tr w14:paraId="0025A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7" w:type="dxa"/>
                  <w:noWrap w:val="0"/>
                  <w:vAlign w:val="center"/>
                </w:tcPr>
                <w:p w14:paraId="06B66CAE">
                  <w:pPr>
                    <w:widowControl/>
                    <w:spacing w:line="320" w:lineRule="exact"/>
                    <w:jc w:val="center"/>
                    <w:textAlignment w:val="center"/>
                    <w:rPr>
                      <w:rFonts w:hint="default" w:ascii="Times New Roman" w:hAnsi="Times New Roman" w:cs="Times New Roman"/>
                      <w:b/>
                      <w:bCs/>
                      <w:color w:val="000000"/>
                      <w:kern w:val="0"/>
                      <w:szCs w:val="21"/>
                      <w:highlight w:val="none"/>
                    </w:rPr>
                  </w:pPr>
                  <w:r>
                    <w:rPr>
                      <w:rFonts w:hint="default" w:ascii="Times New Roman" w:hAnsi="Times New Roman" w:cs="Times New Roman"/>
                      <w:b/>
                      <w:bCs/>
                      <w:color w:val="000000"/>
                      <w:kern w:val="0"/>
                      <w:szCs w:val="21"/>
                      <w:highlight w:val="none"/>
                    </w:rPr>
                    <w:t>设备</w:t>
                  </w:r>
                </w:p>
              </w:tc>
              <w:tc>
                <w:tcPr>
                  <w:tcW w:w="770" w:type="dxa"/>
                  <w:noWrap w:val="0"/>
                  <w:vAlign w:val="center"/>
                </w:tcPr>
                <w:p w14:paraId="732FC182">
                  <w:pPr>
                    <w:widowControl/>
                    <w:spacing w:line="320" w:lineRule="exact"/>
                    <w:jc w:val="center"/>
                    <w:textAlignment w:val="center"/>
                    <w:rPr>
                      <w:rFonts w:hint="default" w:ascii="Times New Roman" w:hAnsi="Times New Roman" w:cs="Times New Roman"/>
                      <w:b/>
                      <w:bCs/>
                      <w:color w:val="000000"/>
                      <w:kern w:val="0"/>
                      <w:szCs w:val="21"/>
                      <w:highlight w:val="none"/>
                    </w:rPr>
                  </w:pPr>
                  <w:r>
                    <w:rPr>
                      <w:rFonts w:hint="default" w:ascii="Times New Roman" w:hAnsi="Times New Roman" w:cs="Times New Roman"/>
                      <w:b/>
                      <w:bCs/>
                      <w:color w:val="000000"/>
                      <w:kern w:val="0"/>
                      <w:szCs w:val="21"/>
                      <w:highlight w:val="none"/>
                    </w:rPr>
                    <w:t>型号规格</w:t>
                  </w:r>
                </w:p>
              </w:tc>
              <w:tc>
                <w:tcPr>
                  <w:tcW w:w="741" w:type="dxa"/>
                  <w:noWrap w:val="0"/>
                  <w:vAlign w:val="center"/>
                </w:tcPr>
                <w:p w14:paraId="74C58DD0">
                  <w:pPr>
                    <w:widowControl/>
                    <w:spacing w:line="320" w:lineRule="exact"/>
                    <w:jc w:val="center"/>
                    <w:textAlignment w:val="bottom"/>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数量</w:t>
                  </w:r>
                  <w:r>
                    <w:rPr>
                      <w:rFonts w:hint="default" w:ascii="Times New Roman" w:hAnsi="Times New Roman" w:cs="Times New Roman"/>
                      <w:b/>
                      <w:bCs/>
                      <w:color w:val="000000"/>
                      <w:szCs w:val="21"/>
                      <w:highlight w:val="none"/>
                      <w:lang w:val="en-US" w:eastAsia="zh-CN"/>
                    </w:rPr>
                    <w:t>/</w:t>
                  </w:r>
                  <w:r>
                    <w:rPr>
                      <w:rFonts w:hint="default" w:ascii="Times New Roman" w:hAnsi="Times New Roman" w:cs="Times New Roman"/>
                      <w:b/>
                      <w:bCs/>
                      <w:color w:val="000000"/>
                      <w:szCs w:val="21"/>
                      <w:highlight w:val="none"/>
                    </w:rPr>
                    <w:t>台</w:t>
                  </w:r>
                </w:p>
              </w:tc>
              <w:tc>
                <w:tcPr>
                  <w:tcW w:w="1265" w:type="dxa"/>
                  <w:noWrap w:val="0"/>
                  <w:vAlign w:val="center"/>
                </w:tcPr>
                <w:p w14:paraId="4D80A728">
                  <w:pPr>
                    <w:pStyle w:val="17"/>
                    <w:tabs>
                      <w:tab w:val="left" w:pos="0"/>
                    </w:tabs>
                    <w:jc w:val="center"/>
                    <w:rPr>
                      <w:rFonts w:hint="default" w:ascii="Times New Roman" w:hAnsi="Times New Roman" w:cs="Times New Roman"/>
                      <w:b/>
                      <w:bCs/>
                      <w:color w:val="000000"/>
                      <w:sz w:val="21"/>
                      <w:szCs w:val="21"/>
                      <w:highlight w:val="none"/>
                      <w:lang w:bidi="ar"/>
                    </w:rPr>
                  </w:pPr>
                  <w:r>
                    <w:rPr>
                      <w:rFonts w:hint="default" w:ascii="Times New Roman" w:hAnsi="Times New Roman" w:cs="Times New Roman"/>
                      <w:b/>
                      <w:color w:val="000000"/>
                      <w:sz w:val="21"/>
                      <w:szCs w:val="21"/>
                      <w:highlight w:val="none"/>
                      <w:lang w:bidi="ar"/>
                    </w:rPr>
                    <w:t>单台单</w:t>
                  </w:r>
                  <w:r>
                    <w:rPr>
                      <w:rFonts w:hint="default" w:ascii="Times New Roman" w:hAnsi="Times New Roman" w:cs="Times New Roman"/>
                      <w:b/>
                      <w:color w:val="000000"/>
                      <w:sz w:val="21"/>
                      <w:szCs w:val="21"/>
                      <w:highlight w:val="none"/>
                      <w:lang w:val="en-US" w:eastAsia="zh-CN" w:bidi="ar"/>
                    </w:rPr>
                    <w:t>批</w:t>
                  </w:r>
                  <w:r>
                    <w:rPr>
                      <w:rFonts w:hint="default" w:ascii="Times New Roman" w:hAnsi="Times New Roman" w:cs="Times New Roman"/>
                      <w:b/>
                      <w:color w:val="000000"/>
                      <w:sz w:val="21"/>
                      <w:szCs w:val="21"/>
                      <w:highlight w:val="none"/>
                      <w:lang w:bidi="ar"/>
                    </w:rPr>
                    <w:t>次注胶量（</w:t>
                  </w:r>
                  <w:r>
                    <w:rPr>
                      <w:rFonts w:hint="default" w:ascii="Times New Roman" w:hAnsi="Times New Roman" w:cs="Times New Roman"/>
                      <w:b/>
                      <w:color w:val="000000"/>
                      <w:sz w:val="21"/>
                      <w:szCs w:val="21"/>
                      <w:highlight w:val="none"/>
                      <w:lang w:val="en-US" w:eastAsia="zh-CN" w:bidi="ar"/>
                    </w:rPr>
                    <w:t>g</w:t>
                  </w:r>
                  <w:r>
                    <w:rPr>
                      <w:rFonts w:hint="default" w:ascii="Times New Roman" w:hAnsi="Times New Roman" w:cs="Times New Roman"/>
                      <w:b/>
                      <w:color w:val="000000"/>
                      <w:sz w:val="21"/>
                      <w:szCs w:val="21"/>
                      <w:highlight w:val="none"/>
                      <w:lang w:bidi="ar"/>
                    </w:rPr>
                    <w:t>）</w:t>
                  </w:r>
                </w:p>
              </w:tc>
              <w:tc>
                <w:tcPr>
                  <w:tcW w:w="726" w:type="dxa"/>
                  <w:noWrap w:val="0"/>
                  <w:vAlign w:val="center"/>
                </w:tcPr>
                <w:p w14:paraId="78AC0B63">
                  <w:pPr>
                    <w:pStyle w:val="17"/>
                    <w:tabs>
                      <w:tab w:val="left" w:pos="0"/>
                    </w:tabs>
                    <w:jc w:val="center"/>
                    <w:rPr>
                      <w:rFonts w:hint="default" w:ascii="Times New Roman" w:hAnsi="Times New Roman" w:cs="Times New Roman"/>
                      <w:b/>
                      <w:color w:val="000000"/>
                      <w:sz w:val="21"/>
                      <w:szCs w:val="21"/>
                      <w:highlight w:val="none"/>
                      <w:lang w:bidi="ar"/>
                    </w:rPr>
                  </w:pPr>
                  <w:r>
                    <w:rPr>
                      <w:rFonts w:hint="default" w:ascii="Times New Roman" w:hAnsi="Times New Roman" w:cs="Times New Roman"/>
                      <w:b/>
                      <w:color w:val="000000"/>
                      <w:sz w:val="21"/>
                      <w:szCs w:val="21"/>
                      <w:highlight w:val="none"/>
                      <w:lang w:bidi="ar"/>
                    </w:rPr>
                    <w:t>单模孔位数</w:t>
                  </w:r>
                </w:p>
              </w:tc>
              <w:tc>
                <w:tcPr>
                  <w:tcW w:w="1317" w:type="dxa"/>
                  <w:noWrap w:val="0"/>
                  <w:vAlign w:val="center"/>
                </w:tcPr>
                <w:p w14:paraId="2AD48D83">
                  <w:pPr>
                    <w:pStyle w:val="17"/>
                    <w:tabs>
                      <w:tab w:val="left" w:pos="0"/>
                    </w:tabs>
                    <w:jc w:val="center"/>
                    <w:rPr>
                      <w:rFonts w:hint="default" w:ascii="Times New Roman" w:hAnsi="Times New Roman" w:cs="Times New Roman"/>
                      <w:b/>
                      <w:bCs/>
                      <w:color w:val="000000"/>
                      <w:spacing w:val="20"/>
                      <w:sz w:val="21"/>
                      <w:szCs w:val="21"/>
                      <w:highlight w:val="none"/>
                    </w:rPr>
                  </w:pPr>
                  <w:r>
                    <w:rPr>
                      <w:rFonts w:hint="default" w:ascii="Times New Roman" w:hAnsi="Times New Roman" w:cs="Times New Roman"/>
                      <w:b/>
                      <w:color w:val="000000"/>
                      <w:sz w:val="21"/>
                      <w:szCs w:val="21"/>
                      <w:highlight w:val="none"/>
                      <w:lang w:bidi="ar"/>
                    </w:rPr>
                    <w:t>单台单</w:t>
                  </w:r>
                  <w:r>
                    <w:rPr>
                      <w:rFonts w:hint="default" w:ascii="Times New Roman" w:hAnsi="Times New Roman" w:cs="Times New Roman"/>
                      <w:b/>
                      <w:color w:val="000000"/>
                      <w:sz w:val="21"/>
                      <w:szCs w:val="21"/>
                      <w:highlight w:val="none"/>
                      <w:lang w:val="en-US" w:eastAsia="zh-CN" w:bidi="ar"/>
                    </w:rPr>
                    <w:t>批</w:t>
                  </w:r>
                  <w:r>
                    <w:rPr>
                      <w:rFonts w:hint="default" w:ascii="Times New Roman" w:hAnsi="Times New Roman" w:cs="Times New Roman"/>
                      <w:b/>
                      <w:color w:val="000000"/>
                      <w:sz w:val="21"/>
                      <w:szCs w:val="21"/>
                      <w:highlight w:val="none"/>
                      <w:lang w:bidi="ar"/>
                    </w:rPr>
                    <w:t>次成型时间（s）</w:t>
                  </w:r>
                </w:p>
              </w:tc>
              <w:tc>
                <w:tcPr>
                  <w:tcW w:w="1129" w:type="dxa"/>
                  <w:noWrap w:val="0"/>
                  <w:vAlign w:val="center"/>
                </w:tcPr>
                <w:p w14:paraId="6933F8F8">
                  <w:pPr>
                    <w:widowControl/>
                    <w:spacing w:line="320" w:lineRule="exact"/>
                    <w:jc w:val="center"/>
                    <w:textAlignment w:val="bottom"/>
                    <w:rPr>
                      <w:rFonts w:hint="default" w:ascii="Times New Roman" w:hAnsi="Times New Roman" w:cs="Times New Roman"/>
                      <w:b/>
                      <w:bCs/>
                      <w:color w:val="000000"/>
                      <w:kern w:val="0"/>
                      <w:szCs w:val="21"/>
                      <w:highlight w:val="none"/>
                      <w:lang w:bidi="ar"/>
                    </w:rPr>
                  </w:pPr>
                  <w:r>
                    <w:rPr>
                      <w:rFonts w:hint="default" w:ascii="Times New Roman" w:hAnsi="Times New Roman" w:cs="Times New Roman"/>
                      <w:b/>
                      <w:color w:val="000000"/>
                      <w:szCs w:val="21"/>
                      <w:highlight w:val="none"/>
                      <w:lang w:eastAsia="zh-CN" w:bidi="ar"/>
                    </w:rPr>
                    <w:t>每天</w:t>
                  </w:r>
                  <w:r>
                    <w:rPr>
                      <w:rFonts w:hint="default" w:ascii="Times New Roman" w:hAnsi="Times New Roman" w:cs="Times New Roman"/>
                      <w:b/>
                      <w:color w:val="000000"/>
                      <w:szCs w:val="21"/>
                      <w:highlight w:val="none"/>
                      <w:lang w:bidi="ar"/>
                    </w:rPr>
                    <w:t>工作时间（h）</w:t>
                  </w:r>
                </w:p>
              </w:tc>
              <w:tc>
                <w:tcPr>
                  <w:tcW w:w="904" w:type="dxa"/>
                  <w:noWrap w:val="0"/>
                  <w:vAlign w:val="center"/>
                </w:tcPr>
                <w:p w14:paraId="6566D997">
                  <w:pPr>
                    <w:widowControl/>
                    <w:spacing w:line="320" w:lineRule="exact"/>
                    <w:jc w:val="center"/>
                    <w:textAlignment w:val="bottom"/>
                    <w:rPr>
                      <w:rFonts w:hint="default" w:ascii="Times New Roman" w:hAnsi="Times New Roman" w:cs="Times New Roman"/>
                      <w:b/>
                      <w:bCs/>
                      <w:color w:val="000000"/>
                      <w:kern w:val="0"/>
                      <w:szCs w:val="21"/>
                      <w:highlight w:val="none"/>
                      <w:lang w:bidi="ar"/>
                    </w:rPr>
                  </w:pPr>
                  <w:r>
                    <w:rPr>
                      <w:rFonts w:hint="default" w:ascii="Times New Roman" w:hAnsi="Times New Roman" w:cs="Times New Roman"/>
                      <w:b/>
                      <w:color w:val="000000"/>
                      <w:szCs w:val="21"/>
                      <w:highlight w:val="none"/>
                      <w:lang w:bidi="ar"/>
                    </w:rPr>
                    <w:t>年工作天数</w:t>
                  </w:r>
                </w:p>
              </w:tc>
              <w:tc>
                <w:tcPr>
                  <w:tcW w:w="1095" w:type="dxa"/>
                  <w:noWrap w:val="0"/>
                  <w:vAlign w:val="center"/>
                </w:tcPr>
                <w:p w14:paraId="1DD72406">
                  <w:pPr>
                    <w:widowControl/>
                    <w:spacing w:line="320" w:lineRule="exact"/>
                    <w:jc w:val="center"/>
                    <w:textAlignment w:val="bottom"/>
                    <w:rPr>
                      <w:rFonts w:hint="default" w:ascii="Times New Roman" w:hAnsi="Times New Roman" w:cs="Times New Roman"/>
                      <w:b/>
                      <w:bCs/>
                      <w:color w:val="000000"/>
                      <w:kern w:val="0"/>
                      <w:szCs w:val="21"/>
                      <w:highlight w:val="none"/>
                      <w:lang w:bidi="ar"/>
                    </w:rPr>
                  </w:pPr>
                  <w:r>
                    <w:rPr>
                      <w:rFonts w:hint="default" w:ascii="Times New Roman" w:hAnsi="Times New Roman" w:cs="Times New Roman"/>
                      <w:b/>
                      <w:color w:val="000000"/>
                      <w:szCs w:val="21"/>
                      <w:highlight w:val="none"/>
                      <w:lang w:bidi="ar"/>
                    </w:rPr>
                    <w:t>年产量（t/a）</w:t>
                  </w:r>
                </w:p>
              </w:tc>
            </w:tr>
            <w:tr w14:paraId="2C18B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noWrap w:val="0"/>
                  <w:vAlign w:val="center"/>
                </w:tcPr>
                <w:p w14:paraId="4AA19F42">
                  <w:pPr>
                    <w:widowControl/>
                    <w:spacing w:line="240" w:lineRule="auto"/>
                    <w:jc w:val="center"/>
                    <w:textAlignment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lang w:val="en-US" w:eastAsia="zh-CN"/>
                    </w:rPr>
                    <w:t>立式注塑机</w:t>
                  </w:r>
                </w:p>
              </w:tc>
              <w:tc>
                <w:tcPr>
                  <w:tcW w:w="770" w:type="dxa"/>
                  <w:noWrap w:val="0"/>
                  <w:vAlign w:val="center"/>
                </w:tcPr>
                <w:p w14:paraId="2A7BCB9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0"/>
                      <w:sz w:val="21"/>
                      <w:szCs w:val="21"/>
                      <w:highlight w:val="none"/>
                      <w:lang w:val="en-US" w:eastAsia="zh-CN" w:bidi="ar-SA"/>
                    </w:rPr>
                  </w:pPr>
                  <w:r>
                    <w:rPr>
                      <w:rFonts w:hint="eastAsia" w:eastAsia="宋体" w:cs="Times New Roman"/>
                      <w:b w:val="0"/>
                      <w:bCs w:val="0"/>
                      <w:color w:val="000000"/>
                      <w:sz w:val="21"/>
                      <w:szCs w:val="21"/>
                      <w:highlight w:val="none"/>
                      <w:lang w:val="en-US" w:eastAsia="zh-CN"/>
                    </w:rPr>
                    <w:t>25</w:t>
                  </w:r>
                  <w:r>
                    <w:rPr>
                      <w:rFonts w:hint="default" w:ascii="Times New Roman" w:hAnsi="Times New Roman" w:eastAsia="宋体" w:cs="Times New Roman"/>
                      <w:b w:val="0"/>
                      <w:bCs w:val="0"/>
                      <w:color w:val="000000"/>
                      <w:sz w:val="21"/>
                      <w:szCs w:val="21"/>
                      <w:highlight w:val="none"/>
                      <w:lang w:val="en-US" w:eastAsia="zh-CN"/>
                    </w:rPr>
                    <w:t>T</w:t>
                  </w:r>
                </w:p>
              </w:tc>
              <w:tc>
                <w:tcPr>
                  <w:tcW w:w="741" w:type="dxa"/>
                  <w:noWrap w:val="0"/>
                  <w:vAlign w:val="center"/>
                </w:tcPr>
                <w:p w14:paraId="73FC25F3">
                  <w:pPr>
                    <w:keepNext w:val="0"/>
                    <w:keepLines w:val="0"/>
                    <w:widowControl/>
                    <w:suppressLineNumbers w:val="0"/>
                    <w:jc w:val="center"/>
                    <w:textAlignment w:val="center"/>
                    <w:rPr>
                      <w:rFonts w:hint="default" w:ascii="Times New Roman" w:hAnsi="Times New Roman" w:eastAsia="宋体" w:cs="Times New Roman"/>
                      <w:color w:val="000000"/>
                      <w:kern w:val="2"/>
                      <w:position w:val="-10"/>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265" w:type="dxa"/>
                  <w:noWrap w:val="0"/>
                  <w:vAlign w:val="center"/>
                </w:tcPr>
                <w:p w14:paraId="0C56CEA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0.06</w:t>
                  </w:r>
                </w:p>
              </w:tc>
              <w:tc>
                <w:tcPr>
                  <w:tcW w:w="726" w:type="dxa"/>
                  <w:noWrap w:val="0"/>
                  <w:vAlign w:val="center"/>
                </w:tcPr>
                <w:p w14:paraId="05DD3F7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1</w:t>
                  </w:r>
                </w:p>
              </w:tc>
              <w:tc>
                <w:tcPr>
                  <w:tcW w:w="1317" w:type="dxa"/>
                  <w:noWrap w:val="0"/>
                  <w:vAlign w:val="center"/>
                </w:tcPr>
                <w:p w14:paraId="7E552E4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200</w:t>
                  </w:r>
                </w:p>
              </w:tc>
              <w:tc>
                <w:tcPr>
                  <w:tcW w:w="1129" w:type="dxa"/>
                  <w:noWrap w:val="0"/>
                  <w:vAlign w:val="center"/>
                </w:tcPr>
                <w:p w14:paraId="2E42843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8</w:t>
                  </w:r>
                </w:p>
              </w:tc>
              <w:tc>
                <w:tcPr>
                  <w:tcW w:w="904" w:type="dxa"/>
                  <w:noWrap w:val="0"/>
                  <w:vAlign w:val="center"/>
                </w:tcPr>
                <w:p w14:paraId="61B4701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300</w:t>
                  </w:r>
                </w:p>
              </w:tc>
              <w:tc>
                <w:tcPr>
                  <w:tcW w:w="1095" w:type="dxa"/>
                  <w:noWrap w:val="0"/>
                  <w:vAlign w:val="center"/>
                </w:tcPr>
                <w:p w14:paraId="593EB3D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 xml:space="preserve">15.6 </w:t>
                  </w:r>
                </w:p>
              </w:tc>
            </w:tr>
            <w:tr w14:paraId="1FC61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noWrap w:val="0"/>
                  <w:vAlign w:val="center"/>
                </w:tcPr>
                <w:p w14:paraId="619F1352">
                  <w:pPr>
                    <w:jc w:val="center"/>
                    <w:rPr>
                      <w:rFonts w:hint="default" w:ascii="Times New Roman" w:hAnsi="Times New Roman" w:eastAsia="宋体" w:cs="Times New Roman"/>
                      <w:color w:val="000000"/>
                      <w:kern w:val="0"/>
                      <w:szCs w:val="21"/>
                      <w:highlight w:val="none"/>
                      <w:lang w:val="en-US" w:eastAsia="zh-CN"/>
                    </w:rPr>
                  </w:pPr>
                  <w:r>
                    <w:rPr>
                      <w:rFonts w:hint="default" w:ascii="Times New Roman" w:hAnsi="Times New Roman" w:cs="Times New Roman"/>
                      <w:color w:val="000000"/>
                      <w:kern w:val="0"/>
                      <w:szCs w:val="21"/>
                      <w:highlight w:val="none"/>
                      <w:lang w:val="en-US" w:eastAsia="zh-CN" w:bidi="ar"/>
                    </w:rPr>
                    <w:t>卧式</w:t>
                  </w:r>
                  <w:r>
                    <w:rPr>
                      <w:rFonts w:hint="default" w:ascii="Times New Roman" w:hAnsi="Times New Roman" w:cs="Times New Roman"/>
                      <w:color w:val="000000"/>
                      <w:kern w:val="0"/>
                      <w:szCs w:val="21"/>
                      <w:highlight w:val="none"/>
                      <w:lang w:bidi="ar"/>
                    </w:rPr>
                    <w:t>注塑机</w:t>
                  </w:r>
                </w:p>
              </w:tc>
              <w:tc>
                <w:tcPr>
                  <w:tcW w:w="770" w:type="dxa"/>
                  <w:noWrap w:val="0"/>
                  <w:vAlign w:val="center"/>
                </w:tcPr>
                <w:p w14:paraId="105DE4C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color w:val="000000"/>
                      <w:kern w:val="2"/>
                      <w:sz w:val="22"/>
                      <w:szCs w:val="22"/>
                      <w:highlight w:val="none"/>
                      <w:lang w:val="en-US" w:eastAsia="zh-CN"/>
                    </w:rPr>
                  </w:pPr>
                  <w:r>
                    <w:rPr>
                      <w:rFonts w:hint="eastAsia" w:eastAsia="宋体" w:cs="Times New Roman"/>
                      <w:b w:val="0"/>
                      <w:bCs w:val="0"/>
                      <w:color w:val="000000"/>
                      <w:sz w:val="21"/>
                      <w:szCs w:val="21"/>
                      <w:highlight w:val="none"/>
                      <w:lang w:val="en-US" w:eastAsia="zh-CN"/>
                    </w:rPr>
                    <w:t>1</w:t>
                  </w:r>
                  <w:r>
                    <w:rPr>
                      <w:rFonts w:hint="default" w:ascii="Times New Roman" w:hAnsi="Times New Roman" w:eastAsia="宋体" w:cs="Times New Roman"/>
                      <w:b w:val="0"/>
                      <w:bCs w:val="0"/>
                      <w:color w:val="000000"/>
                      <w:sz w:val="21"/>
                      <w:szCs w:val="21"/>
                      <w:highlight w:val="none"/>
                      <w:lang w:val="en-US" w:eastAsia="zh-CN"/>
                    </w:rPr>
                    <w:t>00T</w:t>
                  </w:r>
                </w:p>
              </w:tc>
              <w:tc>
                <w:tcPr>
                  <w:tcW w:w="741" w:type="dxa"/>
                  <w:noWrap w:val="0"/>
                  <w:vAlign w:val="center"/>
                </w:tcPr>
                <w:p w14:paraId="05F9E1FE">
                  <w:pPr>
                    <w:keepNext w:val="0"/>
                    <w:keepLines w:val="0"/>
                    <w:widowControl/>
                    <w:suppressLineNumbers w:val="0"/>
                    <w:jc w:val="center"/>
                    <w:textAlignment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265" w:type="dxa"/>
                  <w:noWrap w:val="0"/>
                  <w:vAlign w:val="center"/>
                </w:tcPr>
                <w:p w14:paraId="0582E7A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0.08</w:t>
                  </w:r>
                </w:p>
              </w:tc>
              <w:tc>
                <w:tcPr>
                  <w:tcW w:w="726" w:type="dxa"/>
                  <w:noWrap w:val="0"/>
                  <w:vAlign w:val="center"/>
                </w:tcPr>
                <w:p w14:paraId="43929BD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1</w:t>
                  </w:r>
                </w:p>
              </w:tc>
              <w:tc>
                <w:tcPr>
                  <w:tcW w:w="1317" w:type="dxa"/>
                  <w:noWrap w:val="0"/>
                  <w:vAlign w:val="center"/>
                </w:tcPr>
                <w:p w14:paraId="33CD2D3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260</w:t>
                  </w:r>
                </w:p>
              </w:tc>
              <w:tc>
                <w:tcPr>
                  <w:tcW w:w="1129" w:type="dxa"/>
                  <w:noWrap w:val="0"/>
                  <w:vAlign w:val="center"/>
                </w:tcPr>
                <w:p w14:paraId="08E3F7D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8</w:t>
                  </w:r>
                </w:p>
              </w:tc>
              <w:tc>
                <w:tcPr>
                  <w:tcW w:w="904" w:type="dxa"/>
                  <w:noWrap w:val="0"/>
                  <w:vAlign w:val="center"/>
                </w:tcPr>
                <w:p w14:paraId="20EDF016">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300</w:t>
                  </w:r>
                </w:p>
              </w:tc>
              <w:tc>
                <w:tcPr>
                  <w:tcW w:w="1095" w:type="dxa"/>
                  <w:noWrap w:val="0"/>
                  <w:vAlign w:val="center"/>
                </w:tcPr>
                <w:p w14:paraId="11AA87B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outlineLvl w:val="9"/>
                    <w:rPr>
                      <w:rFonts w:hint="default" w:eastAsia="宋体" w:cs="Times New Roman"/>
                      <w:b w:val="0"/>
                      <w:bCs w:val="0"/>
                      <w:color w:val="000000"/>
                      <w:sz w:val="21"/>
                      <w:szCs w:val="21"/>
                      <w:highlight w:val="none"/>
                      <w:lang w:val="en-US" w:eastAsia="zh-CN"/>
                    </w:rPr>
                  </w:pPr>
                  <w:r>
                    <w:rPr>
                      <w:rFonts w:hint="eastAsia" w:eastAsia="宋体" w:cs="Times New Roman"/>
                      <w:b w:val="0"/>
                      <w:bCs w:val="0"/>
                      <w:color w:val="000000"/>
                      <w:sz w:val="21"/>
                      <w:szCs w:val="21"/>
                      <w:highlight w:val="none"/>
                      <w:lang w:val="en-US" w:eastAsia="zh-CN"/>
                    </w:rPr>
                    <w:t xml:space="preserve">26.6 </w:t>
                  </w:r>
                </w:p>
              </w:tc>
            </w:tr>
            <w:tr w14:paraId="06BB7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39" w:type="dxa"/>
                  <w:gridSpan w:val="8"/>
                  <w:noWrap w:val="0"/>
                  <w:vAlign w:val="center"/>
                </w:tcPr>
                <w:p w14:paraId="077ABF02">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总计</w:t>
                  </w:r>
                </w:p>
              </w:tc>
              <w:tc>
                <w:tcPr>
                  <w:tcW w:w="1095" w:type="dxa"/>
                  <w:noWrap w:val="0"/>
                  <w:vAlign w:val="center"/>
                </w:tcPr>
                <w:p w14:paraId="42B5CEB8">
                  <w:pPr>
                    <w:keepNext w:val="0"/>
                    <w:keepLines w:val="0"/>
                    <w:widowControl/>
                    <w:suppressLineNumbers w:val="0"/>
                    <w:jc w:val="center"/>
                    <w:textAlignment w:val="center"/>
                    <w:rPr>
                      <w:rFonts w:hint="default" w:ascii="Times New Roman" w:hAnsi="Times New Roman" w:eastAsia="宋体" w:cs="Times New Roman"/>
                      <w:b w:val="0"/>
                      <w:bCs w:val="0"/>
                      <w:color w:val="000000"/>
                      <w:sz w:val="21"/>
                      <w:szCs w:val="21"/>
                      <w:highlight w:val="none"/>
                      <w:lang w:val="en-US" w:eastAsia="zh-CN"/>
                    </w:rPr>
                  </w:pPr>
                  <w:r>
                    <w:rPr>
                      <w:rFonts w:hint="eastAsia" w:eastAsia="宋体" w:cs="Times New Roman"/>
                      <w:i w:val="0"/>
                      <w:iCs w:val="0"/>
                      <w:color w:val="000000"/>
                      <w:kern w:val="0"/>
                      <w:sz w:val="21"/>
                      <w:szCs w:val="21"/>
                      <w:highlight w:val="none"/>
                      <w:u w:val="none"/>
                      <w:lang w:val="en-US" w:eastAsia="zh-CN" w:bidi="ar"/>
                    </w:rPr>
                    <w:t>42.1</w:t>
                  </w:r>
                </w:p>
              </w:tc>
            </w:tr>
          </w:tbl>
          <w:p w14:paraId="59D5731A">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default" w:ascii="Times New Roman" w:hAnsi="Times New Roman" w:eastAsia="宋体" w:cs="Times New Roman"/>
                <w:b w:val="0"/>
                <w:bCs/>
                <w:color w:val="000000"/>
                <w:sz w:val="21"/>
                <w:szCs w:val="21"/>
                <w:highlight w:val="none"/>
                <w:lang w:val="en-US" w:eastAsia="zh-CN"/>
              </w:rPr>
              <w:t>注：1、核算的理论产能为</w:t>
            </w:r>
            <w:r>
              <w:rPr>
                <w:rFonts w:hint="eastAsia" w:eastAsia="宋体" w:cs="Times New Roman"/>
                <w:b w:val="0"/>
                <w:bCs/>
                <w:color w:val="000000"/>
                <w:sz w:val="21"/>
                <w:szCs w:val="21"/>
                <w:highlight w:val="none"/>
                <w:lang w:val="en-US" w:eastAsia="zh-CN"/>
              </w:rPr>
              <w:t>42.1</w:t>
            </w:r>
            <w:r>
              <w:rPr>
                <w:rFonts w:hint="default" w:ascii="Times New Roman" w:hAnsi="Times New Roman" w:eastAsia="宋体" w:cs="Times New Roman"/>
                <w:b w:val="0"/>
                <w:bCs/>
                <w:color w:val="000000"/>
                <w:sz w:val="21"/>
                <w:szCs w:val="21"/>
                <w:highlight w:val="none"/>
                <w:lang w:val="en-US" w:eastAsia="zh-CN"/>
              </w:rPr>
              <w:t>吨/年，本项目</w:t>
            </w:r>
            <w:r>
              <w:rPr>
                <w:rFonts w:hint="eastAsia" w:eastAsia="宋体" w:cs="Times New Roman"/>
                <w:b w:val="0"/>
                <w:bCs/>
                <w:color w:val="000000"/>
                <w:sz w:val="21"/>
                <w:szCs w:val="21"/>
                <w:highlight w:val="none"/>
                <w:lang w:val="en-US" w:eastAsia="zh-CN"/>
              </w:rPr>
              <w:t>注塑</w:t>
            </w:r>
            <w:r>
              <w:rPr>
                <w:rFonts w:hint="default" w:ascii="Times New Roman" w:hAnsi="Times New Roman" w:eastAsia="宋体" w:cs="Times New Roman"/>
                <w:b w:val="0"/>
                <w:bCs/>
                <w:color w:val="000000"/>
                <w:sz w:val="21"/>
                <w:szCs w:val="21"/>
                <w:highlight w:val="none"/>
                <w:lang w:val="en-US" w:eastAsia="zh-CN"/>
              </w:rPr>
              <w:t>生产原料使用量为</w:t>
            </w:r>
            <w:r>
              <w:rPr>
                <w:rFonts w:hint="eastAsia" w:eastAsia="宋体" w:cs="Times New Roman"/>
                <w:b w:val="0"/>
                <w:bCs/>
                <w:color w:val="000000"/>
                <w:sz w:val="21"/>
                <w:szCs w:val="21"/>
                <w:highlight w:val="none"/>
                <w:lang w:val="en-US" w:eastAsia="zh-CN"/>
              </w:rPr>
              <w:t>40.5</w:t>
            </w:r>
            <w:r>
              <w:rPr>
                <w:rFonts w:hint="default" w:ascii="Times New Roman" w:hAnsi="Times New Roman" w:eastAsia="宋体" w:cs="Times New Roman"/>
                <w:b w:val="0"/>
                <w:bCs/>
                <w:color w:val="000000"/>
                <w:sz w:val="21"/>
                <w:szCs w:val="21"/>
                <w:highlight w:val="none"/>
                <w:lang w:val="en-US" w:eastAsia="zh-CN"/>
              </w:rPr>
              <w:t>吨/年，生产效率为9</w:t>
            </w:r>
            <w:r>
              <w:rPr>
                <w:rFonts w:hint="eastAsia" w:eastAsia="宋体" w:cs="Times New Roman"/>
                <w:b w:val="0"/>
                <w:bCs/>
                <w:color w:val="000000"/>
                <w:sz w:val="21"/>
                <w:szCs w:val="21"/>
                <w:highlight w:val="none"/>
                <w:lang w:val="en-US" w:eastAsia="zh-CN"/>
              </w:rPr>
              <w:t>6</w:t>
            </w:r>
            <w:r>
              <w:rPr>
                <w:rFonts w:hint="default" w:ascii="Times New Roman" w:hAnsi="Times New Roman" w:eastAsia="宋体" w:cs="Times New Roman"/>
                <w:b w:val="0"/>
                <w:bCs/>
                <w:color w:val="000000"/>
                <w:sz w:val="21"/>
                <w:szCs w:val="21"/>
                <w:highlight w:val="none"/>
                <w:lang w:val="en-US" w:eastAsia="zh-CN"/>
              </w:rPr>
              <w:t>.2%，故申报合理；</w:t>
            </w:r>
          </w:p>
          <w:p w14:paraId="4340EDAB">
            <w:pPr>
              <w:pStyle w:val="95"/>
              <w:keepNext w:val="0"/>
              <w:keepLines w:val="0"/>
              <w:pageBreakBefore w:val="0"/>
              <w:widowControl w:val="0"/>
              <w:kinsoku/>
              <w:wordWrap/>
              <w:overflowPunct/>
              <w:topLinePunct w:val="0"/>
              <w:autoSpaceDE/>
              <w:autoSpaceDN/>
              <w:bidi w:val="0"/>
              <w:adjustRightInd/>
              <w:snapToGrid/>
              <w:spacing w:before="0"/>
              <w:ind w:left="567" w:hanging="567"/>
              <w:textAlignment w:val="auto"/>
              <w:rPr>
                <w:b/>
                <w:color w:val="auto"/>
                <w:kern w:val="2"/>
                <w:sz w:val="21"/>
                <w:highlight w:val="none"/>
              </w:rPr>
            </w:pPr>
            <w:r>
              <w:rPr>
                <w:rFonts w:hint="eastAsia"/>
                <w:b/>
                <w:bCs w:val="0"/>
                <w:color w:val="000000"/>
                <w:kern w:val="2"/>
                <w:sz w:val="21"/>
                <w:highlight w:val="none"/>
                <w:lang w:val="en-US" w:eastAsia="zh-CN"/>
              </w:rPr>
              <w:t>环氧树脂AB胶用量</w:t>
            </w:r>
            <w:r>
              <w:rPr>
                <w:rFonts w:hint="eastAsia"/>
                <w:b/>
                <w:bCs w:val="0"/>
                <w:color w:val="000000"/>
                <w:kern w:val="2"/>
                <w:sz w:val="21"/>
                <w:highlight w:val="none"/>
              </w:rPr>
              <w:t>核算</w:t>
            </w:r>
            <w:r>
              <w:rPr>
                <w:b/>
                <w:bCs w:val="0"/>
                <w:color w:val="000000"/>
                <w:kern w:val="2"/>
                <w:sz w:val="21"/>
                <w:highlight w:val="none"/>
              </w:rPr>
              <w:t>一览表</w:t>
            </w:r>
          </w:p>
          <w:tbl>
            <w:tblPr>
              <w:tblStyle w:val="19"/>
              <w:tblW w:w="8844" w:type="dxa"/>
              <w:jc w:val="center"/>
              <w:tblLayout w:type="autofit"/>
              <w:tblCellMar>
                <w:top w:w="0" w:type="dxa"/>
                <w:left w:w="108" w:type="dxa"/>
                <w:bottom w:w="0" w:type="dxa"/>
                <w:right w:w="108" w:type="dxa"/>
              </w:tblCellMar>
            </w:tblPr>
            <w:tblGrid>
              <w:gridCol w:w="1347"/>
              <w:gridCol w:w="1833"/>
              <w:gridCol w:w="1644"/>
              <w:gridCol w:w="1425"/>
              <w:gridCol w:w="1262"/>
              <w:gridCol w:w="1333"/>
            </w:tblGrid>
            <w:tr w14:paraId="218787C9">
              <w:tblPrEx>
                <w:tblCellMar>
                  <w:top w:w="0" w:type="dxa"/>
                  <w:left w:w="108" w:type="dxa"/>
                  <w:bottom w:w="0" w:type="dxa"/>
                  <w:right w:w="108" w:type="dxa"/>
                </w:tblCellMar>
              </w:tblPrEx>
              <w:trPr>
                <w:trHeight w:val="538" w:hRule="atLeast"/>
                <w:jc w:val="center"/>
              </w:trPr>
              <w:tc>
                <w:tcPr>
                  <w:tcW w:w="1347" w:type="dxa"/>
                  <w:tcBorders>
                    <w:top w:val="single" w:color="000000" w:sz="8" w:space="0"/>
                    <w:left w:val="single" w:color="000000" w:sz="8" w:space="0"/>
                    <w:bottom w:val="single" w:color="auto" w:sz="4" w:space="0"/>
                    <w:right w:val="single" w:color="000000" w:sz="8" w:space="0"/>
                  </w:tcBorders>
                  <w:vAlign w:val="center"/>
                </w:tcPr>
                <w:p w14:paraId="0397963F">
                  <w:pPr>
                    <w:jc w:val="center"/>
                    <w:rPr>
                      <w:rFonts w:hint="eastAsia"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原料</w:t>
                  </w:r>
                  <w:r>
                    <w:rPr>
                      <w:rFonts w:hint="eastAsia" w:ascii="Times New Roman" w:hAnsi="Times New Roman" w:eastAsia="宋体" w:cs="Times New Roman"/>
                      <w:b/>
                      <w:bCs/>
                      <w:color w:val="auto"/>
                      <w:highlight w:val="none"/>
                      <w:lang w:val="en-US" w:eastAsia="zh-CN"/>
                    </w:rPr>
                    <w:t>名称</w:t>
                  </w:r>
                </w:p>
              </w:tc>
              <w:tc>
                <w:tcPr>
                  <w:tcW w:w="183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D4B4CC0">
                  <w:pPr>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highlight w:val="none"/>
                      <w:lang w:val="en-US" w:eastAsia="zh-CN"/>
                    </w:rPr>
                    <w:t>总胶粘面积（</w:t>
                  </w:r>
                  <w:r>
                    <w:rPr>
                      <w:rFonts w:hint="eastAsia" w:cs="Times New Roman"/>
                      <w:b/>
                      <w:bCs/>
                      <w:color w:val="000000"/>
                      <w:highlight w:val="none"/>
                      <w:lang w:val="en-US" w:eastAsia="zh-CN"/>
                    </w:rPr>
                    <w:t>m</w:t>
                  </w:r>
                  <w:r>
                    <w:rPr>
                      <w:rFonts w:hint="eastAsia" w:cs="Times New Roman"/>
                      <w:b/>
                      <w:bCs/>
                      <w:color w:val="000000"/>
                      <w:highlight w:val="none"/>
                      <w:vertAlign w:val="superscript"/>
                      <w:lang w:val="en-US" w:eastAsia="zh-CN"/>
                    </w:rPr>
                    <w:t>2</w:t>
                  </w:r>
                  <w:r>
                    <w:rPr>
                      <w:rFonts w:hint="eastAsia" w:ascii="Times New Roman" w:hAnsi="Times New Roman" w:eastAsia="宋体" w:cs="Times New Roman"/>
                      <w:b/>
                      <w:bCs/>
                      <w:color w:val="000000"/>
                      <w:highlight w:val="none"/>
                      <w:lang w:val="en-US" w:eastAsia="zh-CN"/>
                    </w:rPr>
                    <w:t>）</w:t>
                  </w:r>
                </w:p>
              </w:tc>
              <w:tc>
                <w:tcPr>
                  <w:tcW w:w="164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E724540">
                  <w:pPr>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cs="Times New Roman"/>
                      <w:b/>
                      <w:bCs/>
                      <w:color w:val="000000"/>
                      <w:highlight w:val="none"/>
                      <w:lang w:val="en-US" w:eastAsia="zh-CN"/>
                    </w:rPr>
                    <w:t>胶粘</w:t>
                  </w:r>
                  <w:r>
                    <w:rPr>
                      <w:rFonts w:hint="eastAsia" w:ascii="Times New Roman" w:hAnsi="Times New Roman" w:eastAsia="宋体" w:cs="Times New Roman"/>
                      <w:b/>
                      <w:bCs/>
                      <w:color w:val="000000"/>
                      <w:highlight w:val="none"/>
                      <w:lang w:val="en-US" w:eastAsia="zh-CN"/>
                    </w:rPr>
                    <w:t>厚度（μm）</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2AB4143B">
                  <w:pPr>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highlight w:val="none"/>
                      <w:lang w:val="en-US" w:eastAsia="zh-CN"/>
                    </w:rPr>
                    <w:t>密度（t/m</w:t>
                  </w:r>
                  <w:r>
                    <w:rPr>
                      <w:rFonts w:hint="eastAsia" w:ascii="Times New Roman" w:hAnsi="Times New Roman" w:eastAsia="宋体" w:cs="Times New Roman"/>
                      <w:b/>
                      <w:bCs/>
                      <w:color w:val="000000"/>
                      <w:highlight w:val="none"/>
                      <w:vertAlign w:val="superscript"/>
                      <w:lang w:val="en-US" w:eastAsia="zh-CN"/>
                    </w:rPr>
                    <w:t>3</w:t>
                  </w:r>
                  <w:r>
                    <w:rPr>
                      <w:rFonts w:hint="eastAsia" w:ascii="Times New Roman" w:hAnsi="Times New Roman" w:eastAsia="宋体" w:cs="Times New Roman"/>
                      <w:b/>
                      <w:bCs/>
                      <w:color w:val="000000"/>
                      <w:highlight w:val="none"/>
                      <w:lang w:val="en-US" w:eastAsia="zh-CN"/>
                    </w:rPr>
                    <w:t>）</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26AE4BFE">
                  <w:pPr>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highlight w:val="none"/>
                      <w:lang w:val="en-US" w:eastAsia="zh-CN"/>
                    </w:rPr>
                    <w:t>有效利用率</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5F2FEFA6">
                  <w:pPr>
                    <w:jc w:val="center"/>
                    <w:rPr>
                      <w:rFonts w:hint="default" w:ascii="Times New Roman" w:hAnsi="Times New Roman" w:eastAsia="宋体" w:cs="Times New Roman"/>
                      <w:b/>
                      <w:bCs/>
                      <w:color w:val="000000"/>
                      <w:kern w:val="2"/>
                      <w:sz w:val="21"/>
                      <w:szCs w:val="24"/>
                      <w:highlight w:val="none"/>
                      <w:lang w:val="en-US" w:eastAsia="zh-CN" w:bidi="ar-SA"/>
                    </w:rPr>
                  </w:pPr>
                  <w:r>
                    <w:rPr>
                      <w:rFonts w:hint="eastAsia" w:ascii="Times New Roman" w:hAnsi="Times New Roman" w:eastAsia="宋体" w:cs="Times New Roman"/>
                      <w:b/>
                      <w:bCs/>
                      <w:color w:val="000000"/>
                      <w:highlight w:val="none"/>
                      <w:lang w:val="en-US" w:eastAsia="zh-CN"/>
                    </w:rPr>
                    <w:t>年用量（t）</w:t>
                  </w:r>
                </w:p>
              </w:tc>
            </w:tr>
            <w:tr w14:paraId="22C73134">
              <w:tblPrEx>
                <w:tblCellMar>
                  <w:top w:w="0" w:type="dxa"/>
                  <w:left w:w="108" w:type="dxa"/>
                  <w:bottom w:w="0" w:type="dxa"/>
                  <w:right w:w="108" w:type="dxa"/>
                </w:tblCellMar>
              </w:tblPrEx>
              <w:trPr>
                <w:trHeight w:val="546" w:hRule="atLeast"/>
                <w:jc w:val="center"/>
              </w:trPr>
              <w:tc>
                <w:tcPr>
                  <w:tcW w:w="1347" w:type="dxa"/>
                  <w:tcBorders>
                    <w:top w:val="single" w:color="auto" w:sz="4" w:space="0"/>
                    <w:left w:val="single" w:color="auto" w:sz="4" w:space="0"/>
                    <w:bottom w:val="single" w:color="auto" w:sz="4" w:space="0"/>
                    <w:right w:val="single" w:color="auto" w:sz="4" w:space="0"/>
                  </w:tcBorders>
                  <w:shd w:val="clear" w:color="auto" w:fill="auto"/>
                  <w:vAlign w:val="center"/>
                </w:tcPr>
                <w:p w14:paraId="4A9D95CE">
                  <w:pPr>
                    <w:jc w:val="center"/>
                    <w:rPr>
                      <w:rFonts w:hint="default" w:ascii="Times New Roman" w:hAnsi="Times New Roman" w:eastAsia="宋体" w:cs="Times New Roman"/>
                      <w:color w:val="000000"/>
                      <w:kern w:val="0"/>
                      <w:szCs w:val="21"/>
                      <w:highlight w:val="none"/>
                      <w:lang w:val="en-US" w:eastAsia="zh-CN" w:bidi="ar"/>
                    </w:rPr>
                  </w:pPr>
                  <w:r>
                    <w:rPr>
                      <w:rFonts w:hint="eastAsia" w:eastAsia="宋体" w:cs="Times New Roman"/>
                      <w:color w:val="000000"/>
                      <w:kern w:val="0"/>
                      <w:szCs w:val="21"/>
                      <w:highlight w:val="none"/>
                      <w:lang w:val="en-US" w:eastAsia="zh-CN" w:bidi="ar"/>
                    </w:rPr>
                    <w:t>环氧树脂AB胶</w:t>
                  </w:r>
                </w:p>
              </w:tc>
              <w:tc>
                <w:tcPr>
                  <w:tcW w:w="1833" w:type="dxa"/>
                  <w:tcBorders>
                    <w:top w:val="single" w:color="000000" w:sz="8" w:space="0"/>
                    <w:left w:val="single" w:color="auto" w:sz="4" w:space="0"/>
                    <w:bottom w:val="single" w:color="000000" w:sz="8" w:space="0"/>
                    <w:right w:val="single" w:color="000000" w:sz="8" w:space="0"/>
                  </w:tcBorders>
                  <w:shd w:val="clear" w:color="auto" w:fill="auto"/>
                  <w:vAlign w:val="center"/>
                </w:tcPr>
                <w:p w14:paraId="2D061775">
                  <w:pPr>
                    <w:jc w:val="center"/>
                    <w:rPr>
                      <w:rFonts w:hint="default" w:ascii="Times New Roman" w:hAnsi="Times New Roman" w:eastAsia="宋体" w:cs="Times New Roman"/>
                      <w:color w:val="000000"/>
                      <w:kern w:val="0"/>
                      <w:szCs w:val="21"/>
                      <w:highlight w:val="none"/>
                      <w:lang w:val="en-US" w:eastAsia="zh-CN" w:bidi="ar"/>
                    </w:rPr>
                  </w:pPr>
                  <w:r>
                    <w:rPr>
                      <w:rFonts w:hint="eastAsia" w:ascii="Times New Roman" w:hAnsi="Times New Roman" w:eastAsia="宋体" w:cs="Times New Roman"/>
                      <w:color w:val="000000"/>
                      <w:kern w:val="0"/>
                      <w:szCs w:val="21"/>
                      <w:highlight w:val="none"/>
                      <w:lang w:val="en-US" w:eastAsia="zh-CN" w:bidi="ar"/>
                    </w:rPr>
                    <w:t>2000</w:t>
                  </w:r>
                </w:p>
              </w:tc>
              <w:tc>
                <w:tcPr>
                  <w:tcW w:w="1644"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A2A4435">
                  <w:pPr>
                    <w:jc w:val="center"/>
                    <w:rPr>
                      <w:rFonts w:hint="default" w:ascii="Times New Roman" w:hAnsi="Times New Roman" w:eastAsia="宋体" w:cs="Times New Roman"/>
                      <w:color w:val="000000"/>
                      <w:kern w:val="0"/>
                      <w:szCs w:val="21"/>
                      <w:highlight w:val="none"/>
                      <w:lang w:val="en-US" w:eastAsia="zh-CN" w:bidi="ar"/>
                    </w:rPr>
                  </w:pPr>
                  <w:r>
                    <w:rPr>
                      <w:rFonts w:hint="eastAsia" w:ascii="Times New Roman" w:hAnsi="Times New Roman" w:eastAsia="宋体" w:cs="Times New Roman"/>
                      <w:color w:val="000000"/>
                      <w:kern w:val="0"/>
                      <w:szCs w:val="21"/>
                      <w:highlight w:val="none"/>
                      <w:lang w:val="en-US" w:eastAsia="zh-CN" w:bidi="ar"/>
                    </w:rPr>
                    <w:t>50</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441114D7">
                  <w:pPr>
                    <w:jc w:val="center"/>
                    <w:rPr>
                      <w:rFonts w:hint="default" w:ascii="Times New Roman" w:hAnsi="Times New Roman" w:eastAsia="宋体" w:cs="Times New Roman"/>
                      <w:color w:val="000000"/>
                      <w:kern w:val="0"/>
                      <w:szCs w:val="21"/>
                      <w:highlight w:val="none"/>
                      <w:lang w:val="en-US" w:eastAsia="zh-CN" w:bidi="ar"/>
                    </w:rPr>
                  </w:pPr>
                  <w:r>
                    <w:rPr>
                      <w:rFonts w:hint="eastAsia" w:ascii="Times New Roman" w:hAnsi="Times New Roman" w:eastAsia="宋体" w:cs="Times New Roman"/>
                      <w:color w:val="000000"/>
                      <w:kern w:val="0"/>
                      <w:szCs w:val="21"/>
                      <w:highlight w:val="none"/>
                      <w:lang w:val="en-US" w:eastAsia="zh-CN" w:bidi="ar"/>
                    </w:rPr>
                    <w:t>1.</w:t>
                  </w:r>
                  <w:r>
                    <w:rPr>
                      <w:rFonts w:hint="eastAsia" w:eastAsia="宋体" w:cs="Times New Roman"/>
                      <w:color w:val="000000"/>
                      <w:kern w:val="0"/>
                      <w:szCs w:val="21"/>
                      <w:highlight w:val="none"/>
                      <w:lang w:val="en-US" w:eastAsia="zh-CN" w:bidi="ar"/>
                    </w:rPr>
                    <w:t>2</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67B95F93">
                  <w:pPr>
                    <w:jc w:val="center"/>
                    <w:rPr>
                      <w:rFonts w:hint="default" w:ascii="Times New Roman" w:hAnsi="Times New Roman" w:eastAsia="宋体" w:cs="Times New Roman"/>
                      <w:color w:val="000000"/>
                      <w:kern w:val="0"/>
                      <w:szCs w:val="21"/>
                      <w:highlight w:val="none"/>
                      <w:lang w:val="en-US" w:eastAsia="zh-CN" w:bidi="ar"/>
                    </w:rPr>
                  </w:pPr>
                  <w:r>
                    <w:rPr>
                      <w:rFonts w:hint="eastAsia" w:ascii="Times New Roman" w:hAnsi="Times New Roman" w:eastAsia="宋体" w:cs="Times New Roman"/>
                      <w:color w:val="000000"/>
                      <w:kern w:val="0"/>
                      <w:szCs w:val="21"/>
                      <w:highlight w:val="none"/>
                      <w:lang w:val="en-US" w:eastAsia="zh-CN" w:bidi="ar"/>
                    </w:rPr>
                    <w:t>90%</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40B3EAC9">
                  <w:pPr>
                    <w:jc w:val="center"/>
                    <w:rPr>
                      <w:rFonts w:hint="eastAsia" w:ascii="Times New Roman" w:hAnsi="Times New Roman" w:eastAsia="宋体" w:cs="Times New Roman"/>
                      <w:color w:val="000000"/>
                      <w:kern w:val="0"/>
                      <w:szCs w:val="21"/>
                      <w:highlight w:val="none"/>
                      <w:lang w:val="en-US" w:eastAsia="zh-CN" w:bidi="ar"/>
                    </w:rPr>
                  </w:pPr>
                  <w:r>
                    <w:rPr>
                      <w:rFonts w:hint="eastAsia" w:ascii="Times New Roman" w:hAnsi="Times New Roman" w:eastAsia="宋体" w:cs="Times New Roman"/>
                      <w:color w:val="000000"/>
                      <w:kern w:val="0"/>
                      <w:szCs w:val="21"/>
                      <w:highlight w:val="none"/>
                      <w:lang w:val="en-US" w:eastAsia="zh-CN" w:bidi="ar"/>
                    </w:rPr>
                    <w:t>0.1</w:t>
                  </w:r>
                  <w:r>
                    <w:rPr>
                      <w:rFonts w:hint="eastAsia" w:eastAsia="宋体" w:cs="Times New Roman"/>
                      <w:color w:val="000000"/>
                      <w:kern w:val="0"/>
                      <w:szCs w:val="21"/>
                      <w:highlight w:val="none"/>
                      <w:lang w:val="en-US" w:eastAsia="zh-CN" w:bidi="ar"/>
                    </w:rPr>
                    <w:t>3</w:t>
                  </w:r>
                </w:p>
              </w:tc>
            </w:tr>
          </w:tbl>
          <w:p w14:paraId="08D3867F">
            <w:pPr>
              <w:pStyle w:val="106"/>
              <w:spacing w:line="240" w:lineRule="auto"/>
              <w:rPr>
                <w:rFonts w:hint="eastAsia" w:ascii="Times New Roman" w:hAnsi="Times New Roman" w:eastAsia="宋体" w:cs="Times New Roman"/>
                <w:b w:val="0"/>
                <w:bCs w:val="0"/>
                <w:color w:val="000000"/>
                <w:kern w:val="2"/>
                <w:sz w:val="21"/>
                <w:szCs w:val="24"/>
                <w:highlight w:val="none"/>
                <w:lang w:val="en-US" w:eastAsia="zh-CN" w:bidi="ar-SA"/>
              </w:rPr>
            </w:pPr>
            <w:r>
              <w:rPr>
                <w:color w:val="auto"/>
                <w:sz w:val="21"/>
                <w:szCs w:val="21"/>
                <w:highlight w:val="none"/>
              </w:rPr>
              <w:t>注：</w:t>
            </w:r>
            <w:r>
              <w:rPr>
                <w:rFonts w:hint="eastAsia"/>
                <w:color w:val="auto"/>
                <w:sz w:val="21"/>
                <w:szCs w:val="21"/>
                <w:highlight w:val="none"/>
              </w:rPr>
              <w:t>1、</w:t>
            </w:r>
            <w:r>
              <w:rPr>
                <w:rFonts w:hint="eastAsia"/>
                <w:color w:val="auto"/>
                <w:sz w:val="21"/>
                <w:szCs w:val="21"/>
                <w:highlight w:val="none"/>
                <w:lang w:val="en-US" w:eastAsia="zh-CN"/>
              </w:rPr>
              <w:t>本项目产品生产过程需要使用胶水，粘贴部分主要为组装过程中塑料配件与PVC线的接触面，每套塑料产品需要胶粘面积尺寸为</w:t>
            </w:r>
            <w:r>
              <w:rPr>
                <w:rFonts w:hint="default" w:ascii="Times New Roman" w:hAnsi="Times New Roman" w:cs="Times New Roman"/>
                <w:color w:val="000000"/>
                <w:sz w:val="21"/>
                <w:szCs w:val="21"/>
                <w:highlight w:val="none"/>
                <w:lang w:val="en-US" w:eastAsia="zh-CN"/>
              </w:rPr>
              <w:t>0.</w:t>
            </w:r>
            <w:r>
              <w:rPr>
                <w:rFonts w:hint="eastAsia" w:cs="Times New Roman"/>
                <w:color w:val="000000"/>
                <w:sz w:val="21"/>
                <w:szCs w:val="21"/>
                <w:highlight w:val="none"/>
                <w:lang w:val="en-US" w:eastAsia="zh-CN"/>
              </w:rPr>
              <w:t>04</w:t>
            </w:r>
            <w:r>
              <w:rPr>
                <w:rFonts w:hint="default" w:ascii="Times New Roman" w:hAnsi="Times New Roman"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lang w:val="en-US" w:eastAsia="zh-CN"/>
              </w:rPr>
              <w:t>×</w:t>
            </w:r>
            <w:r>
              <w:rPr>
                <w:rFonts w:hint="default" w:ascii="Times New Roman" w:hAnsi="Times New Roman" w:eastAsia="宋体" w:cs="Times New Roman"/>
                <w:b w:val="0"/>
                <w:bCs w:val="0"/>
                <w:color w:val="000000"/>
                <w:kern w:val="2"/>
                <w:sz w:val="21"/>
                <w:szCs w:val="24"/>
                <w:highlight w:val="none"/>
                <w:lang w:val="en-US" w:eastAsia="zh-CN" w:bidi="ar-SA"/>
              </w:rPr>
              <w:t>0.</w:t>
            </w:r>
            <w:r>
              <w:rPr>
                <w:rFonts w:hint="eastAsia" w:eastAsia="宋体" w:cs="Times New Roman"/>
                <w:b w:val="0"/>
                <w:bCs w:val="0"/>
                <w:color w:val="000000"/>
                <w:kern w:val="2"/>
                <w:sz w:val="21"/>
                <w:szCs w:val="24"/>
                <w:highlight w:val="none"/>
                <w:lang w:val="en-US" w:eastAsia="zh-CN" w:bidi="ar-SA"/>
              </w:rPr>
              <w:t>05</w:t>
            </w:r>
            <w:r>
              <w:rPr>
                <w:rFonts w:hint="eastAsia" w:ascii="Times New Roman" w:hAnsi="Times New Roman" w:eastAsia="宋体" w:cs="Times New Roman"/>
                <w:b w:val="0"/>
                <w:bCs w:val="0"/>
                <w:color w:val="000000"/>
                <w:kern w:val="2"/>
                <w:sz w:val="21"/>
                <w:szCs w:val="24"/>
                <w:highlight w:val="none"/>
                <w:lang w:val="en-US" w:eastAsia="zh-CN" w:bidi="ar-SA"/>
              </w:rPr>
              <w:t>m，每年产生共</w:t>
            </w:r>
            <w:r>
              <w:rPr>
                <w:rFonts w:hint="eastAsia" w:eastAsia="宋体" w:cs="Times New Roman"/>
                <w:b w:val="0"/>
                <w:bCs w:val="0"/>
                <w:color w:val="000000"/>
                <w:kern w:val="2"/>
                <w:sz w:val="21"/>
                <w:szCs w:val="24"/>
                <w:highlight w:val="none"/>
                <w:lang w:val="en-US" w:eastAsia="zh-CN" w:bidi="ar-SA"/>
              </w:rPr>
              <w:t>10</w:t>
            </w:r>
            <w:r>
              <w:rPr>
                <w:rFonts w:hint="eastAsia" w:ascii="Times New Roman" w:hAnsi="Times New Roman" w:eastAsia="宋体" w:cs="Times New Roman"/>
                <w:b w:val="0"/>
                <w:bCs w:val="0"/>
                <w:color w:val="000000"/>
                <w:kern w:val="2"/>
                <w:sz w:val="21"/>
                <w:szCs w:val="24"/>
                <w:highlight w:val="none"/>
                <w:lang w:val="en-US" w:eastAsia="zh-CN" w:bidi="ar-SA"/>
              </w:rPr>
              <w:t>0万</w:t>
            </w:r>
            <w:r>
              <w:rPr>
                <w:rFonts w:hint="eastAsia" w:eastAsia="宋体" w:cs="Times New Roman"/>
                <w:b w:val="0"/>
                <w:bCs w:val="0"/>
                <w:color w:val="000000"/>
                <w:kern w:val="2"/>
                <w:sz w:val="21"/>
                <w:szCs w:val="24"/>
                <w:highlight w:val="none"/>
                <w:lang w:val="en-US" w:eastAsia="zh-CN" w:bidi="ar-SA"/>
              </w:rPr>
              <w:t>套塑料配件</w:t>
            </w:r>
            <w:r>
              <w:rPr>
                <w:rFonts w:hint="eastAsia" w:ascii="Times New Roman" w:hAnsi="Times New Roman" w:eastAsia="宋体" w:cs="Times New Roman"/>
                <w:b w:val="0"/>
                <w:bCs w:val="0"/>
                <w:color w:val="000000"/>
                <w:kern w:val="2"/>
                <w:sz w:val="21"/>
                <w:szCs w:val="24"/>
                <w:highlight w:val="none"/>
                <w:lang w:val="en-US" w:eastAsia="zh-CN" w:bidi="ar-SA"/>
              </w:rPr>
              <w:t>，则需要胶粘面积为2000平方米。</w:t>
            </w:r>
          </w:p>
          <w:p w14:paraId="3D3D9F1A">
            <w:pPr>
              <w:pStyle w:val="106"/>
              <w:spacing w:line="240" w:lineRule="auto"/>
              <w:rPr>
                <w:rFonts w:hint="default" w:ascii="Times New Roman" w:hAnsi="Times New Roman" w:eastAsia="宋体" w:cs="Times New Roman"/>
                <w:b w:val="0"/>
                <w:bCs w:val="0"/>
                <w:color w:val="000000"/>
                <w:kern w:val="2"/>
                <w:sz w:val="21"/>
                <w:szCs w:val="24"/>
                <w:highlight w:val="none"/>
                <w:lang w:val="en-US" w:eastAsia="zh-CN" w:bidi="ar-SA"/>
              </w:rPr>
            </w:pPr>
            <w:r>
              <w:rPr>
                <w:rFonts w:hint="eastAsia" w:ascii="Times New Roman" w:hAnsi="Times New Roman" w:eastAsia="宋体" w:cs="Times New Roman"/>
                <w:b w:val="0"/>
                <w:bCs w:val="0"/>
                <w:color w:val="000000"/>
                <w:kern w:val="2"/>
                <w:sz w:val="21"/>
                <w:szCs w:val="24"/>
                <w:highlight w:val="none"/>
                <w:lang w:val="en-US" w:eastAsia="zh-CN" w:bidi="ar-SA"/>
              </w:rPr>
              <w:t>2、</w:t>
            </w:r>
            <w:r>
              <w:rPr>
                <w:rFonts w:hint="default" w:ascii="Times New Roman" w:hAnsi="Times New Roman" w:eastAsia="宋体" w:cs="Times New Roman"/>
                <w:b w:val="0"/>
                <w:bCs w:val="0"/>
                <w:color w:val="000000"/>
                <w:kern w:val="2"/>
                <w:sz w:val="21"/>
                <w:szCs w:val="24"/>
                <w:highlight w:val="none"/>
                <w:lang w:val="en-US" w:eastAsia="zh-CN" w:bidi="ar-SA"/>
              </w:rPr>
              <w:t>实际生产情况会有一定量的损耗，本次环评中</w:t>
            </w:r>
            <w:r>
              <w:rPr>
                <w:rFonts w:hint="eastAsia" w:ascii="Times New Roman" w:hAnsi="Times New Roman" w:eastAsia="宋体" w:cs="Times New Roman"/>
                <w:b w:val="0"/>
                <w:bCs w:val="0"/>
                <w:color w:val="000000"/>
                <w:kern w:val="2"/>
                <w:sz w:val="21"/>
                <w:szCs w:val="24"/>
                <w:highlight w:val="none"/>
                <w:lang w:val="en-US" w:eastAsia="zh-CN" w:bidi="ar-SA"/>
              </w:rPr>
              <w:t>环氧树脂AB胶</w:t>
            </w:r>
            <w:r>
              <w:rPr>
                <w:rFonts w:hint="default" w:ascii="Times New Roman" w:hAnsi="Times New Roman" w:eastAsia="宋体" w:cs="Times New Roman"/>
                <w:b w:val="0"/>
                <w:bCs w:val="0"/>
                <w:color w:val="000000"/>
                <w:kern w:val="2"/>
                <w:sz w:val="21"/>
                <w:szCs w:val="24"/>
                <w:highlight w:val="none"/>
                <w:lang w:val="en-US" w:eastAsia="zh-CN" w:bidi="ar-SA"/>
              </w:rPr>
              <w:t>按照0.</w:t>
            </w:r>
            <w:r>
              <w:rPr>
                <w:rFonts w:hint="eastAsia" w:ascii="Times New Roman" w:hAnsi="Times New Roman" w:eastAsia="宋体" w:cs="Times New Roman"/>
                <w:b w:val="0"/>
                <w:bCs w:val="0"/>
                <w:color w:val="000000"/>
                <w:kern w:val="2"/>
                <w:sz w:val="21"/>
                <w:szCs w:val="24"/>
                <w:highlight w:val="none"/>
                <w:lang w:val="en-US" w:eastAsia="zh-CN" w:bidi="ar-SA"/>
              </w:rPr>
              <w:t>15</w:t>
            </w:r>
            <w:r>
              <w:rPr>
                <w:rFonts w:hint="default" w:ascii="Times New Roman" w:hAnsi="Times New Roman" w:eastAsia="宋体" w:cs="Times New Roman"/>
                <w:b w:val="0"/>
                <w:bCs w:val="0"/>
                <w:color w:val="000000"/>
                <w:kern w:val="2"/>
                <w:sz w:val="21"/>
                <w:szCs w:val="24"/>
                <w:highlight w:val="none"/>
                <w:lang w:val="en-US" w:eastAsia="zh-CN" w:bidi="ar-SA"/>
              </w:rPr>
              <w:t>吨/年进行申报</w:t>
            </w:r>
            <w:r>
              <w:rPr>
                <w:rFonts w:hint="eastAsia" w:ascii="Times New Roman" w:hAnsi="Times New Roman" w:eastAsia="宋体" w:cs="Times New Roman"/>
                <w:b w:val="0"/>
                <w:bCs w:val="0"/>
                <w:color w:val="000000"/>
                <w:kern w:val="2"/>
                <w:sz w:val="21"/>
                <w:szCs w:val="24"/>
                <w:highlight w:val="none"/>
                <w:lang w:val="en-US" w:eastAsia="zh-CN" w:bidi="ar-SA"/>
              </w:rPr>
              <w:t>。</w:t>
            </w:r>
          </w:p>
          <w:p w14:paraId="7608CF0E">
            <w:pPr>
              <w:pStyle w:val="106"/>
              <w:spacing w:line="240" w:lineRule="auto"/>
              <w:rPr>
                <w:rFonts w:hint="eastAsia" w:ascii="Times New Roman" w:hAnsi="Times New Roman" w:eastAsia="宋体" w:cs="Times New Roman"/>
                <w:b w:val="0"/>
                <w:bCs w:val="0"/>
                <w:color w:val="000000"/>
                <w:kern w:val="2"/>
                <w:sz w:val="21"/>
                <w:szCs w:val="24"/>
                <w:highlight w:val="none"/>
                <w:lang w:val="en-US" w:eastAsia="zh-CN" w:bidi="ar-SA"/>
              </w:rPr>
            </w:pPr>
            <w:r>
              <w:rPr>
                <w:rFonts w:hint="eastAsia" w:ascii="Times New Roman" w:hAnsi="Times New Roman" w:eastAsia="宋体" w:cs="Times New Roman"/>
                <w:b w:val="0"/>
                <w:bCs w:val="0"/>
                <w:color w:val="000000"/>
                <w:kern w:val="2"/>
                <w:sz w:val="21"/>
                <w:szCs w:val="24"/>
                <w:highlight w:val="none"/>
                <w:lang w:val="en-US" w:eastAsia="zh-CN" w:bidi="ar-SA"/>
              </w:rPr>
              <w:t>4、</w:t>
            </w:r>
            <w:r>
              <w:rPr>
                <w:rFonts w:hint="default" w:ascii="Times New Roman" w:hAnsi="Times New Roman" w:eastAsia="宋体" w:cs="Times New Roman"/>
                <w:b w:val="0"/>
                <w:bCs w:val="0"/>
                <w:color w:val="000000"/>
                <w:kern w:val="2"/>
                <w:sz w:val="21"/>
                <w:szCs w:val="24"/>
                <w:highlight w:val="none"/>
                <w:lang w:val="en-US" w:eastAsia="zh-CN" w:bidi="ar-SA"/>
              </w:rPr>
              <w:t>混合后的环氧树脂AB胶挥发分为3%，占比较小，经计算固含量约等于</w:t>
            </w:r>
            <w:r>
              <w:rPr>
                <w:rFonts w:hint="eastAsia" w:ascii="Times New Roman" w:hAnsi="Times New Roman" w:eastAsia="宋体" w:cs="Times New Roman"/>
                <w:b w:val="0"/>
                <w:bCs w:val="0"/>
                <w:color w:val="000000"/>
                <w:kern w:val="2"/>
                <w:sz w:val="21"/>
                <w:szCs w:val="24"/>
                <w:highlight w:val="none"/>
                <w:lang w:val="en-US" w:eastAsia="zh-CN" w:bidi="ar-SA"/>
              </w:rPr>
              <w:t>97%</w:t>
            </w:r>
            <w:r>
              <w:rPr>
                <w:rFonts w:hint="default" w:ascii="Times New Roman" w:hAnsi="Times New Roman" w:eastAsia="宋体" w:cs="Times New Roman"/>
                <w:b w:val="0"/>
                <w:bCs w:val="0"/>
                <w:color w:val="000000"/>
                <w:kern w:val="2"/>
                <w:sz w:val="21"/>
                <w:szCs w:val="24"/>
                <w:highlight w:val="none"/>
                <w:lang w:val="en-US" w:eastAsia="zh-CN" w:bidi="ar-SA"/>
              </w:rPr>
              <w:t>；混合后的AB胶会有损耗等情况，因此有效利用率按90%计</w:t>
            </w:r>
            <w:r>
              <w:rPr>
                <w:rFonts w:hint="eastAsia" w:ascii="Times New Roman" w:hAnsi="Times New Roman" w:eastAsia="宋体" w:cs="Times New Roman"/>
                <w:b w:val="0"/>
                <w:bCs w:val="0"/>
                <w:color w:val="000000"/>
                <w:kern w:val="2"/>
                <w:sz w:val="21"/>
                <w:szCs w:val="24"/>
                <w:highlight w:val="none"/>
                <w:lang w:val="en-US" w:eastAsia="zh-CN" w:bidi="ar-SA"/>
              </w:rPr>
              <w:t>。</w:t>
            </w:r>
          </w:p>
          <w:p w14:paraId="45337B1C">
            <w:pPr>
              <w:adjustRightInd w:val="0"/>
              <w:snapToGrid w:val="0"/>
              <w:spacing w:line="360" w:lineRule="auto"/>
              <w:ind w:firstLine="482" w:firstLineChars="200"/>
              <w:rPr>
                <w:b/>
                <w:color w:val="auto"/>
                <w:sz w:val="24"/>
                <w:highlight w:val="none"/>
              </w:rPr>
            </w:pPr>
            <w:r>
              <w:rPr>
                <w:rFonts w:hint="eastAsia"/>
                <w:b/>
                <w:color w:val="auto"/>
                <w:sz w:val="24"/>
                <w:highlight w:val="none"/>
              </w:rPr>
              <w:t>5、</w:t>
            </w:r>
            <w:r>
              <w:rPr>
                <w:b/>
                <w:color w:val="auto"/>
                <w:sz w:val="24"/>
                <w:highlight w:val="none"/>
              </w:rPr>
              <w:t>项目的人员：</w:t>
            </w:r>
          </w:p>
          <w:p w14:paraId="3301FA10">
            <w:pPr>
              <w:adjustRightInd w:val="0"/>
              <w:spacing w:line="360" w:lineRule="auto"/>
              <w:ind w:right="17" w:firstLine="480" w:firstLineChars="200"/>
              <w:textAlignment w:val="baseline"/>
              <w:rPr>
                <w:color w:val="auto"/>
                <w:szCs w:val="21"/>
                <w:highlight w:val="none"/>
              </w:rPr>
            </w:pPr>
            <w:r>
              <w:rPr>
                <w:color w:val="auto"/>
                <w:sz w:val="24"/>
                <w:highlight w:val="none"/>
              </w:rPr>
              <w:t>项目共设员工</w:t>
            </w:r>
            <w:r>
              <w:rPr>
                <w:rFonts w:hint="eastAsia"/>
                <w:color w:val="auto"/>
                <w:sz w:val="24"/>
                <w:highlight w:val="none"/>
                <w:lang w:val="en-US" w:eastAsia="zh-CN"/>
              </w:rPr>
              <w:t>60</w:t>
            </w:r>
            <w:r>
              <w:rPr>
                <w:rFonts w:hint="eastAsia"/>
                <w:color w:val="auto"/>
                <w:sz w:val="24"/>
                <w:highlight w:val="none"/>
                <w:lang w:eastAsia="zh-CN"/>
              </w:rPr>
              <w:t>人</w:t>
            </w:r>
            <w:r>
              <w:rPr>
                <w:color w:val="auto"/>
                <w:sz w:val="24"/>
                <w:highlight w:val="none"/>
              </w:rPr>
              <w:t>，正常工作时间为</w:t>
            </w:r>
            <w:r>
              <w:rPr>
                <w:rFonts w:hint="eastAsia"/>
                <w:color w:val="auto"/>
                <w:sz w:val="24"/>
                <w:highlight w:val="none"/>
                <w:lang w:val="en-US" w:eastAsia="zh-CN"/>
              </w:rPr>
              <w:t>8</w:t>
            </w:r>
            <w:r>
              <w:rPr>
                <w:color w:val="auto"/>
                <w:sz w:val="24"/>
                <w:highlight w:val="none"/>
              </w:rPr>
              <w:t>小时</w:t>
            </w:r>
            <w:r>
              <w:rPr>
                <w:color w:val="auto"/>
                <w:spacing w:val="6"/>
                <w:sz w:val="24"/>
                <w:highlight w:val="none"/>
              </w:rPr>
              <w:t>。</w:t>
            </w:r>
            <w:r>
              <w:rPr>
                <w:color w:val="auto"/>
                <w:sz w:val="24"/>
                <w:highlight w:val="none"/>
              </w:rPr>
              <w:t>其年工作时间约为300天</w:t>
            </w:r>
            <w:r>
              <w:rPr>
                <w:rFonts w:hint="eastAsia"/>
                <w:color w:val="auto"/>
                <w:sz w:val="24"/>
                <w:highlight w:val="none"/>
              </w:rPr>
              <w:t>，不涉及夜间生产</w:t>
            </w:r>
            <w:r>
              <w:rPr>
                <w:color w:val="auto"/>
                <w:sz w:val="24"/>
                <w:highlight w:val="none"/>
              </w:rPr>
              <w:t>，员工不在厂内食宿。</w:t>
            </w:r>
          </w:p>
          <w:p w14:paraId="0E498F98">
            <w:pPr>
              <w:snapToGrid w:val="0"/>
              <w:spacing w:line="360" w:lineRule="auto"/>
              <w:ind w:firstLine="482" w:firstLineChars="200"/>
              <w:rPr>
                <w:b/>
                <w:color w:val="auto"/>
                <w:sz w:val="24"/>
                <w:highlight w:val="none"/>
              </w:rPr>
            </w:pPr>
            <w:r>
              <w:rPr>
                <w:rFonts w:hint="eastAsia"/>
                <w:b/>
                <w:color w:val="auto"/>
                <w:sz w:val="24"/>
                <w:highlight w:val="none"/>
              </w:rPr>
              <w:t>6、</w:t>
            </w:r>
            <w:r>
              <w:rPr>
                <w:b/>
                <w:color w:val="auto"/>
                <w:sz w:val="24"/>
                <w:highlight w:val="none"/>
              </w:rPr>
              <w:t>给排水情况</w:t>
            </w:r>
          </w:p>
          <w:p w14:paraId="62D4D06B">
            <w:pPr>
              <w:adjustRightInd w:val="0"/>
              <w:snapToGrid w:val="0"/>
              <w:spacing w:line="360" w:lineRule="auto"/>
              <w:ind w:firstLine="480" w:firstLineChars="200"/>
              <w:jc w:val="left"/>
              <w:rPr>
                <w:color w:val="auto"/>
                <w:sz w:val="24"/>
                <w:highlight w:val="none"/>
              </w:rPr>
            </w:pPr>
            <w:r>
              <w:rPr>
                <w:color w:val="auto"/>
                <w:sz w:val="24"/>
                <w:highlight w:val="none"/>
              </w:rPr>
              <w:t>①生活用水：</w:t>
            </w:r>
            <w:r>
              <w:rPr>
                <w:rFonts w:hint="eastAsia"/>
                <w:color w:val="auto"/>
                <w:sz w:val="24"/>
                <w:highlight w:val="none"/>
              </w:rPr>
              <w:t>项目员工人数为</w:t>
            </w:r>
            <w:r>
              <w:rPr>
                <w:rFonts w:hint="eastAsia"/>
                <w:color w:val="auto"/>
                <w:sz w:val="24"/>
                <w:highlight w:val="none"/>
                <w:lang w:val="en-US" w:eastAsia="zh-CN"/>
              </w:rPr>
              <w:t>60</w:t>
            </w:r>
            <w:r>
              <w:rPr>
                <w:rFonts w:hint="eastAsia"/>
                <w:color w:val="auto"/>
                <w:sz w:val="24"/>
                <w:highlight w:val="none"/>
              </w:rPr>
              <w:t>人，</w:t>
            </w:r>
            <w:r>
              <w:rPr>
                <w:rFonts w:hint="eastAsia"/>
                <w:color w:val="auto"/>
                <w:kern w:val="0"/>
                <w:sz w:val="24"/>
              </w:rPr>
              <w:t>均不在厂内食宿，</w:t>
            </w:r>
            <w:r>
              <w:rPr>
                <w:rFonts w:hint="eastAsia"/>
                <w:color w:val="auto"/>
                <w:sz w:val="24"/>
                <w:szCs w:val="32"/>
                <w:highlight w:val="none"/>
                <w:lang w:val="zh-CN"/>
              </w:rPr>
              <w:t>根据《广东省用水定额》（DB44/T 1461.3-2021）表A.1服务业用水定额表，</w:t>
            </w:r>
            <w:r>
              <w:rPr>
                <w:rFonts w:hint="eastAsia" w:hAnsi="宋体"/>
                <w:color w:val="auto"/>
                <w:sz w:val="24"/>
              </w:rPr>
              <w:t>人</w:t>
            </w:r>
            <w:r>
              <w:rPr>
                <w:color w:val="auto"/>
                <w:sz w:val="24"/>
                <w:highlight w:val="none"/>
              </w:rPr>
              <w:t>均用水按28m³/人·a</w:t>
            </w:r>
            <w:r>
              <w:rPr>
                <w:rFonts w:hint="eastAsia" w:hAnsi="宋体"/>
                <w:color w:val="auto"/>
                <w:sz w:val="24"/>
              </w:rPr>
              <w:t>计</w:t>
            </w:r>
            <w:r>
              <w:rPr>
                <w:color w:val="auto"/>
                <w:sz w:val="24"/>
                <w:highlight w:val="none"/>
              </w:rPr>
              <w:t>，需要生活用水量约为</w:t>
            </w:r>
            <w:r>
              <w:rPr>
                <w:rFonts w:hint="eastAsia"/>
                <w:color w:val="auto"/>
                <w:sz w:val="24"/>
                <w:highlight w:val="none"/>
                <w:lang w:val="en-US" w:eastAsia="zh-CN"/>
              </w:rPr>
              <w:t>1680</w:t>
            </w:r>
            <w:r>
              <w:rPr>
                <w:color w:val="auto"/>
                <w:sz w:val="24"/>
                <w:highlight w:val="none"/>
              </w:rPr>
              <w:t>吨/年，排污系数按90%计算，产生生活污水约</w:t>
            </w:r>
            <w:r>
              <w:rPr>
                <w:rFonts w:hint="eastAsia"/>
                <w:color w:val="auto"/>
                <w:sz w:val="24"/>
                <w:highlight w:val="none"/>
                <w:lang w:val="en-US" w:eastAsia="zh-CN"/>
              </w:rPr>
              <w:t>1512</w:t>
            </w:r>
            <w:r>
              <w:rPr>
                <w:color w:val="auto"/>
                <w:sz w:val="24"/>
                <w:highlight w:val="none"/>
              </w:rPr>
              <w:t>吨/年。</w:t>
            </w:r>
            <w:r>
              <w:rPr>
                <w:rFonts w:hint="eastAsia"/>
                <w:color w:val="auto"/>
                <w:sz w:val="24"/>
                <w:highlight w:val="none"/>
              </w:rPr>
              <w:t>生活污水经三级化粪处理后，经市政管道进入</w:t>
            </w:r>
            <w:r>
              <w:rPr>
                <w:rFonts w:hint="eastAsia"/>
                <w:color w:val="auto"/>
                <w:sz w:val="24"/>
                <w:highlight w:val="none"/>
                <w:lang w:eastAsia="zh-CN"/>
              </w:rPr>
              <w:t>中山市东凤镇污水处理有限责任公司</w:t>
            </w:r>
            <w:r>
              <w:rPr>
                <w:rFonts w:hint="eastAsia"/>
                <w:color w:val="auto"/>
                <w:sz w:val="24"/>
                <w:highlight w:val="none"/>
              </w:rPr>
              <w:t>处理达标后，</w:t>
            </w:r>
            <w:r>
              <w:rPr>
                <w:color w:val="auto"/>
                <w:sz w:val="24"/>
              </w:rPr>
              <w:t>排入</w:t>
            </w:r>
            <w:r>
              <w:rPr>
                <w:rFonts w:hint="eastAsia"/>
                <w:color w:val="auto"/>
                <w:sz w:val="24"/>
              </w:rPr>
              <w:t>中心排河</w:t>
            </w:r>
            <w:r>
              <w:rPr>
                <w:rFonts w:hint="eastAsia"/>
                <w:color w:val="auto"/>
                <w:sz w:val="24"/>
                <w:highlight w:val="none"/>
              </w:rPr>
              <w:t>。</w:t>
            </w:r>
          </w:p>
          <w:p w14:paraId="630C1647">
            <w:pPr>
              <w:spacing w:line="360" w:lineRule="auto"/>
              <w:ind w:firstLine="480" w:firstLineChars="200"/>
              <w:rPr>
                <w:rFonts w:hint="eastAsia" w:ascii="Times New Roman" w:hAnsi="Times New Roman" w:eastAsia="宋体" w:cs="Times New Roman"/>
                <w:color w:val="auto"/>
                <w:sz w:val="24"/>
                <w:highlight w:val="none"/>
              </w:rPr>
            </w:pPr>
            <w:r>
              <w:rPr>
                <w:color w:val="auto"/>
                <w:sz w:val="24"/>
                <w:highlight w:val="none"/>
              </w:rPr>
              <w:t>②冷却用水：</w:t>
            </w:r>
            <w:r>
              <w:rPr>
                <w:rFonts w:hint="eastAsia"/>
                <w:color w:val="auto"/>
                <w:sz w:val="24"/>
                <w:highlight w:val="none"/>
              </w:rPr>
              <w:t>项目设有1套冷却塔，项目注塑过程中需要</w:t>
            </w:r>
            <w:r>
              <w:rPr>
                <w:rFonts w:hint="eastAsia"/>
                <w:color w:val="auto"/>
                <w:sz w:val="24"/>
                <w:highlight w:val="none"/>
                <w:lang w:eastAsia="zh-CN"/>
              </w:rPr>
              <w:t>进行冷却成型，冷却方式为</w:t>
            </w:r>
            <w:r>
              <w:rPr>
                <w:rFonts w:hint="eastAsia"/>
                <w:color w:val="auto"/>
                <w:sz w:val="24"/>
                <w:highlight w:val="none"/>
              </w:rPr>
              <w:t>间接冷却，以水作为冷却介质，冷却水循环使</w:t>
            </w:r>
            <w:r>
              <w:rPr>
                <w:rFonts w:hint="eastAsia" w:ascii="Times New Roman" w:hAnsi="Times New Roman" w:eastAsia="宋体" w:cs="Times New Roman"/>
                <w:color w:val="auto"/>
                <w:sz w:val="24"/>
                <w:highlight w:val="none"/>
              </w:rPr>
              <w:t>用，冷却塔配套1个水池，水池尺寸为</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m×</w:t>
            </w:r>
            <w:r>
              <w:rPr>
                <w:rFonts w:hint="eastAsia" w:ascii="Times New Roman" w:hAnsi="Times New Roman" w:eastAsia="宋体" w:cs="Times New Roman"/>
                <w:color w:val="auto"/>
                <w:sz w:val="24"/>
                <w:highlight w:val="none"/>
                <w:lang w:val="en-US" w:eastAsia="zh-CN"/>
              </w:rPr>
              <w:t>0.5</w:t>
            </w:r>
            <w:r>
              <w:rPr>
                <w:rFonts w:hint="eastAsia" w:ascii="Times New Roman" w:hAnsi="Times New Roman" w:eastAsia="宋体" w:cs="Times New Roman"/>
                <w:color w:val="auto"/>
                <w:sz w:val="24"/>
                <w:highlight w:val="none"/>
              </w:rPr>
              <w:t>m×1.5m（有效容积按80%算），有效容积为</w:t>
            </w:r>
            <w:r>
              <w:rPr>
                <w:rFonts w:hint="eastAsia" w:ascii="Times New Roman" w:hAnsi="Times New Roman" w:eastAsia="宋体" w:cs="Times New Roman"/>
                <w:color w:val="auto"/>
                <w:sz w:val="24"/>
                <w:highlight w:val="none"/>
                <w:lang w:val="en-US" w:eastAsia="zh-CN"/>
              </w:rPr>
              <w:t>1.2</w:t>
            </w:r>
            <w:r>
              <w:rPr>
                <w:rFonts w:hint="eastAsia" w:ascii="Times New Roman" w:hAnsi="Times New Roman" w:eastAsia="宋体" w:cs="Times New Roman"/>
                <w:color w:val="auto"/>
                <w:sz w:val="24"/>
                <w:highlight w:val="none"/>
              </w:rPr>
              <w:t>m³，首次加水为</w:t>
            </w:r>
            <w:r>
              <w:rPr>
                <w:rFonts w:hint="eastAsia" w:ascii="Times New Roman" w:hAnsi="Times New Roman" w:eastAsia="宋体" w:cs="Times New Roman"/>
                <w:color w:val="auto"/>
                <w:sz w:val="24"/>
                <w:highlight w:val="none"/>
                <w:lang w:val="en-US" w:eastAsia="zh-CN"/>
              </w:rPr>
              <w:t>1.2</w:t>
            </w:r>
            <w:r>
              <w:rPr>
                <w:rFonts w:hint="eastAsia" w:ascii="Times New Roman" w:hAnsi="Times New Roman" w:eastAsia="宋体" w:cs="Times New Roman"/>
                <w:color w:val="auto"/>
                <w:sz w:val="24"/>
                <w:highlight w:val="none"/>
              </w:rPr>
              <w:t>吨，定期补充损耗率，每天冷却塔补充水用水量按配套水池有效容积的5%计算，冷却塔补充水用水量约为0.</w:t>
            </w:r>
            <w:r>
              <w:rPr>
                <w:rFonts w:hint="eastAsia" w:ascii="Times New Roman" w:hAnsi="Times New Roman" w:eastAsia="宋体" w:cs="Times New Roman"/>
                <w:color w:val="auto"/>
                <w:sz w:val="24"/>
                <w:highlight w:val="none"/>
                <w:lang w:val="en-US" w:eastAsia="zh-CN"/>
              </w:rPr>
              <w:t>06</w:t>
            </w:r>
            <w:r>
              <w:rPr>
                <w:rFonts w:hint="eastAsia" w:ascii="Times New Roman" w:hAnsi="Times New Roman" w:eastAsia="宋体" w:cs="Times New Roman"/>
                <w:color w:val="auto"/>
                <w:sz w:val="24"/>
                <w:highlight w:val="none"/>
              </w:rPr>
              <w:t>t/d，冷却塔补充水量约为</w:t>
            </w:r>
            <w:r>
              <w:rPr>
                <w:rFonts w:hint="eastAsia" w:ascii="Times New Roman" w:hAnsi="Times New Roman" w:eastAsia="宋体" w:cs="Times New Roman"/>
                <w:color w:val="auto"/>
                <w:sz w:val="24"/>
                <w:highlight w:val="none"/>
                <w:lang w:val="en-US" w:eastAsia="zh-CN"/>
              </w:rPr>
              <w:t>18</w:t>
            </w:r>
            <w:r>
              <w:rPr>
                <w:rFonts w:hint="eastAsia" w:ascii="Times New Roman" w:hAnsi="Times New Roman" w:eastAsia="宋体" w:cs="Times New Roman"/>
                <w:color w:val="auto"/>
                <w:sz w:val="24"/>
                <w:highlight w:val="none"/>
              </w:rPr>
              <w:t>t/a，则总用水量为</w:t>
            </w:r>
            <w:r>
              <w:rPr>
                <w:rFonts w:hint="eastAsia" w:ascii="Times New Roman" w:hAnsi="Times New Roman" w:eastAsia="宋体" w:cs="Times New Roman"/>
                <w:color w:val="auto"/>
                <w:sz w:val="24"/>
                <w:highlight w:val="none"/>
                <w:lang w:val="en-US" w:eastAsia="zh-CN"/>
              </w:rPr>
              <w:t>19.2</w:t>
            </w:r>
            <w:r>
              <w:rPr>
                <w:rFonts w:hint="eastAsia" w:ascii="Times New Roman" w:hAnsi="Times New Roman" w:eastAsia="宋体" w:cs="Times New Roman"/>
                <w:color w:val="auto"/>
                <w:sz w:val="24"/>
                <w:highlight w:val="none"/>
              </w:rPr>
              <w:t>t/a。该用水主要以蒸发形式损耗，间接冷却水循环使用，不外排。</w:t>
            </w:r>
          </w:p>
          <w:p w14:paraId="0F1B4CB0">
            <w:pPr>
              <w:pStyle w:val="2"/>
              <w:numPr>
                <w:ilvl w:val="0"/>
                <w:numId w:val="0"/>
              </w:numPr>
              <w:ind w:leftChars="0"/>
              <w:rPr>
                <w:color w:val="auto"/>
                <w:sz w:val="24"/>
                <w:highlight w:val="none"/>
              </w:rPr>
            </w:pPr>
            <w:r>
              <w:rPr>
                <w:color w:val="auto"/>
                <w:sz w:val="44"/>
              </w:rPr>
              <mc:AlternateContent>
                <mc:Choice Requires="wps">
                  <w:drawing>
                    <wp:anchor distT="0" distB="0" distL="114300" distR="114300" simplePos="0" relativeHeight="251661312" behindDoc="0" locked="0" layoutInCell="1" allowOverlap="1">
                      <wp:simplePos x="0" y="0"/>
                      <wp:positionH relativeFrom="column">
                        <wp:posOffset>909320</wp:posOffset>
                      </wp:positionH>
                      <wp:positionV relativeFrom="paragraph">
                        <wp:posOffset>1482090</wp:posOffset>
                      </wp:positionV>
                      <wp:extent cx="203835" cy="1270"/>
                      <wp:effectExtent l="0" t="0" r="0" b="0"/>
                      <wp:wrapNone/>
                      <wp:docPr id="186" name="直接连接符 186"/>
                      <wp:cNvGraphicFramePr/>
                      <a:graphic xmlns:a="http://schemas.openxmlformats.org/drawingml/2006/main">
                        <a:graphicData uri="http://schemas.microsoft.com/office/word/2010/wordprocessingShape">
                          <wps:wsp>
                            <wps:cNvCnPr/>
                            <wps:spPr>
                              <a:xfrm>
                                <a:off x="2049780" y="6929120"/>
                                <a:ext cx="203835"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1.6pt;margin-top:116.7pt;height:0.1pt;width:16.05pt;z-index:251661312;mso-width-relative:page;mso-height-relative:page;" filled="f" stroked="t" coordsize="21600,21600" o:gfxdata="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CGJfh&#10;1wAAAAsBAAAPAAAAAAAAAAEAIAAAACIAAABkcnMvZG93bnJldi54bWxQSwECFAAUAAAACACHTuJA&#10;OoEtT+kBAACsAwAADgAAAAAAAAABACAAAAAmAQAAZHJzL2Uyb0RvYy54bWxQSwUGAAAAAAYABgBZ&#10;AQAAgQUAAAAA&#10;">
                      <v:fill on="f" focussize="0,0"/>
                      <v:stroke color="#000000 [3213]" joinstyle="round"/>
                      <v:imagedata o:title=""/>
                      <o:lock v:ext="edit" aspectratio="f"/>
                    </v:line>
                  </w:pict>
                </mc:Fallback>
              </mc:AlternateContent>
            </w:r>
            <w:r>
              <w:rPr>
                <w:color w:val="auto"/>
                <w:sz w:val="44"/>
              </w:rPr>
              <mc:AlternateContent>
                <mc:Choice Requires="wpc">
                  <w:drawing>
                    <wp:inline distT="0" distB="0" distL="114300" distR="114300">
                      <wp:extent cx="5433695" cy="2550160"/>
                      <wp:effectExtent l="0" t="0" r="0" b="0"/>
                      <wp:docPr id="183" name="画布 183"/>
                      <wp:cNvGraphicFramePr/>
                      <a:graphic xmlns:a="http://schemas.openxmlformats.org/drawingml/2006/main">
                        <a:graphicData uri="http://schemas.microsoft.com/office/word/2010/wordprocessingCanvas">
                          <wpc:wpc>
                            <wpc:bg/>
                            <wpc:whole/>
                            <wps:wsp>
                              <wps:cNvPr id="185" name="文本框 185"/>
                              <wps:cNvSpPr txBox="1"/>
                              <wps:spPr>
                                <a:xfrm>
                                  <a:off x="190500" y="1175385"/>
                                  <a:ext cx="661670" cy="436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DBB03A7">
                                    <w:pPr>
                                      <w:rPr>
                                        <w:rFonts w:hint="eastAsia"/>
                                        <w:lang w:val="en-US" w:eastAsia="zh-CN"/>
                                      </w:rPr>
                                    </w:pPr>
                                    <w:r>
                                      <w:rPr>
                                        <w:rFonts w:hint="eastAsia"/>
                                        <w:lang w:val="en-US" w:eastAsia="zh-CN"/>
                                      </w:rPr>
                                      <w:t>自来水</w:t>
                                    </w:r>
                                  </w:p>
                                  <w:p w14:paraId="66FF60FA">
                                    <w:pPr>
                                      <w:jc w:val="center"/>
                                      <w:rPr>
                                        <w:rFonts w:hint="default" w:eastAsia="宋体"/>
                                        <w:lang w:val="en-US" w:eastAsia="zh-CN"/>
                                      </w:rPr>
                                    </w:pPr>
                                    <w:r>
                                      <w:rPr>
                                        <w:rFonts w:hint="eastAsia"/>
                                        <w:lang w:val="en-US" w:eastAsia="zh-CN"/>
                                      </w:rPr>
                                      <w:t>1698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9" name="文本框 189"/>
                              <wps:cNvSpPr txBox="1"/>
                              <wps:spPr>
                                <a:xfrm>
                                  <a:off x="1629410" y="895350"/>
                                  <a:ext cx="773430" cy="3149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91F36C7">
                                    <w:pPr>
                                      <w:jc w:val="center"/>
                                      <w:rPr>
                                        <w:rFonts w:hint="default" w:eastAsia="宋体"/>
                                        <w:lang w:val="en-US" w:eastAsia="zh-CN"/>
                                      </w:rPr>
                                    </w:pPr>
                                    <w:r>
                                      <w:rPr>
                                        <w:rFonts w:hint="eastAsia"/>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0" name="1041"/>
                              <wps:cNvSpPr/>
                              <wps:spPr>
                                <a:xfrm>
                                  <a:off x="2000885" y="581025"/>
                                  <a:ext cx="259715" cy="267335"/>
                                </a:xfrm>
                                <a:custGeom>
                                  <a:avLst/>
                                  <a:gdLst>
                                    <a:gd name="A1" fmla="val -11796480"/>
                                    <a:gd name="A2" fmla="val 5400"/>
                                    <a:gd name="txL" fmla="*/ 0 w 674"/>
                                    <a:gd name="txT" fmla="*/ 0 h 421"/>
                                    <a:gd name="txR" fmla="*/ 674 w 674"/>
                                    <a:gd name="txB" fmla="*/ 421 h 421"/>
                                  </a:gdLst>
                                  <a:ahLst/>
                                  <a:cxnLst>
                                    <a:cxn ang="0">
                                      <a:pos x="0" y="267335"/>
                                    </a:cxn>
                                    <a:cxn ang="0">
                                      <a:pos x="94407" y="97155"/>
                                    </a:cxn>
                                    <a:cxn ang="0">
                                      <a:pos x="157602" y="194310"/>
                                    </a:cxn>
                                    <a:cxn ang="0">
                                      <a:pos x="259715" y="0"/>
                                    </a:cxn>
                                  </a:cxnLst>
                                  <a:rect l="txL" t="txT" r="txR" b="txB"/>
                                  <a:pathLst>
                                    <a:path w="674" h="421">
                                      <a:moveTo>
                                        <a:pt x="0" y="421"/>
                                      </a:moveTo>
                                      <a:cubicBezTo>
                                        <a:pt x="88" y="296"/>
                                        <a:pt x="177" y="172"/>
                                        <a:pt x="245" y="153"/>
                                      </a:cubicBezTo>
                                      <a:cubicBezTo>
                                        <a:pt x="313" y="134"/>
                                        <a:pt x="338" y="331"/>
                                        <a:pt x="409" y="306"/>
                                      </a:cubicBezTo>
                                      <a:cubicBezTo>
                                        <a:pt x="480" y="281"/>
                                        <a:pt x="635" y="51"/>
                                        <a:pt x="674" y="0"/>
                                      </a:cubicBezTo>
                                    </a:path>
                                  </a:pathLst>
                                </a:custGeom>
                                <a:noFill/>
                                <a:ln w="9525" cap="flat" cmpd="sng">
                                  <a:solidFill>
                                    <a:srgbClr val="000000"/>
                                  </a:solidFill>
                                  <a:prstDash val="dashDot"/>
                                  <a:headEnd type="none" w="med" len="med"/>
                                  <a:tailEnd type="none" w="med" len="med"/>
                                </a:ln>
                              </wps:spPr>
                              <wps:bodyPr upright="1"/>
                            </wps:wsp>
                            <wps:wsp>
                              <wps:cNvPr id="191" name="1047"/>
                              <wps:cNvSpPr/>
                              <wps:spPr>
                                <a:xfrm>
                                  <a:off x="1160780" y="1615440"/>
                                  <a:ext cx="488950" cy="309880"/>
                                </a:xfrm>
                                <a:prstGeom prst="rect">
                                  <a:avLst/>
                                </a:prstGeom>
                                <a:noFill/>
                                <a:ln>
                                  <a:noFill/>
                                </a:ln>
                              </wps:spPr>
                              <wps:txbx>
                                <w:txbxContent>
                                  <w:p w14:paraId="488E6BD8">
                                    <w:pPr>
                                      <w:pStyle w:val="61"/>
                                      <w:rPr>
                                        <w:rFonts w:hint="default" w:ascii="Times New Roman" w:hAnsi="Times New Roman" w:eastAsia="宋体"/>
                                        <w:sz w:val="21"/>
                                        <w:lang w:val="en-US" w:eastAsia="zh-CN"/>
                                      </w:rPr>
                                    </w:pPr>
                                    <w:r>
                                      <w:rPr>
                                        <w:rFonts w:hint="eastAsia" w:ascii="Times New Roman" w:hAnsi="Times New Roman"/>
                                        <w:sz w:val="21"/>
                                        <w:lang w:val="en-US" w:eastAsia="zh-CN"/>
                                      </w:rPr>
                                      <w:t>18</w:t>
                                    </w:r>
                                  </w:p>
                                </w:txbxContent>
                              </wps:txbx>
                              <wps:bodyPr upright="1"/>
                            </wps:wsp>
                            <wps:wsp>
                              <wps:cNvPr id="192" name="1037"/>
                              <wps:cNvCnPr/>
                              <wps:spPr>
                                <a:xfrm>
                                  <a:off x="1188085" y="1960245"/>
                                  <a:ext cx="386080" cy="0"/>
                                </a:xfrm>
                                <a:prstGeom prst="straightConnector1">
                                  <a:avLst/>
                                </a:prstGeom>
                                <a:ln w="9525" cap="flat" cmpd="sng">
                                  <a:solidFill>
                                    <a:srgbClr val="000000"/>
                                  </a:solidFill>
                                  <a:prstDash val="solid"/>
                                  <a:headEnd type="none" w="med" len="med"/>
                                  <a:tailEnd type="triangle" w="med" len="med"/>
                                </a:ln>
                              </wps:spPr>
                              <wps:bodyPr/>
                            </wps:wsp>
                            <wps:wsp>
                              <wps:cNvPr id="193" name="1037"/>
                              <wps:cNvCnPr/>
                              <wps:spPr>
                                <a:xfrm>
                                  <a:off x="1169035" y="1067435"/>
                                  <a:ext cx="386080" cy="0"/>
                                </a:xfrm>
                                <a:prstGeom prst="straightConnector1">
                                  <a:avLst/>
                                </a:prstGeom>
                                <a:ln w="9525" cap="flat" cmpd="sng">
                                  <a:solidFill>
                                    <a:srgbClr val="000000"/>
                                  </a:solidFill>
                                  <a:prstDash val="solid"/>
                                  <a:headEnd type="none" w="med" len="med"/>
                                  <a:tailEnd type="triangle" w="med" len="med"/>
                                </a:ln>
                              </wps:spPr>
                              <wps:bodyPr/>
                            </wps:wsp>
                            <wps:wsp>
                              <wps:cNvPr id="194" name="1044"/>
                              <wps:cNvSpPr/>
                              <wps:spPr>
                                <a:xfrm>
                                  <a:off x="1094740" y="777240"/>
                                  <a:ext cx="495935" cy="233045"/>
                                </a:xfrm>
                                <a:prstGeom prst="rect">
                                  <a:avLst/>
                                </a:prstGeom>
                                <a:noFill/>
                                <a:ln>
                                  <a:noFill/>
                                </a:ln>
                              </wps:spPr>
                              <wps:txbx>
                                <w:txbxContent>
                                  <w:p w14:paraId="3CE0DCD6">
                                    <w:pPr>
                                      <w:rPr>
                                        <w:rFonts w:hint="default" w:eastAsia="宋体"/>
                                        <w:lang w:val="en-US" w:eastAsia="zh-CN"/>
                                      </w:rPr>
                                    </w:pPr>
                                    <w:r>
                                      <w:rPr>
                                        <w:rFonts w:hint="eastAsia"/>
                                        <w:lang w:val="en-US" w:eastAsia="zh-CN"/>
                                      </w:rPr>
                                      <w:t>1680</w:t>
                                    </w:r>
                                  </w:p>
                                </w:txbxContent>
                              </wps:txbx>
                              <wps:bodyPr upright="1"/>
                            </wps:wsp>
                            <wps:wsp>
                              <wps:cNvPr id="195" name="文本框 195"/>
                              <wps:cNvSpPr txBox="1"/>
                              <wps:spPr>
                                <a:xfrm>
                                  <a:off x="1609725" y="1798320"/>
                                  <a:ext cx="773430" cy="3149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BDA101E">
                                    <w:pPr>
                                      <w:jc w:val="center"/>
                                      <w:rPr>
                                        <w:rFonts w:hint="default" w:eastAsia="宋体"/>
                                        <w:lang w:val="en-US" w:eastAsia="zh-CN"/>
                                      </w:rPr>
                                    </w:pPr>
                                    <w:r>
                                      <w:rPr>
                                        <w:rFonts w:hint="eastAsia"/>
                                        <w:lang w:val="en-US" w:eastAsia="zh-CN"/>
                                      </w:rPr>
                                      <w:t>冷却用水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5" name="1043"/>
                              <wps:cNvSpPr/>
                              <wps:spPr>
                                <a:xfrm>
                                  <a:off x="1869440" y="291465"/>
                                  <a:ext cx="1038860" cy="281305"/>
                                </a:xfrm>
                                <a:prstGeom prst="rect">
                                  <a:avLst/>
                                </a:prstGeom>
                                <a:noFill/>
                                <a:ln>
                                  <a:noFill/>
                                </a:ln>
                              </wps:spPr>
                              <wps:txbx>
                                <w:txbxContent>
                                  <w:p w14:paraId="4CD517B1">
                                    <w:pPr>
                                      <w:rPr>
                                        <w:rFonts w:hint="default" w:eastAsia="宋体"/>
                                        <w:lang w:val="en-US" w:eastAsia="zh-CN"/>
                                      </w:rPr>
                                    </w:pPr>
                                    <w:r>
                                      <w:rPr>
                                        <w:rFonts w:hint="eastAsia"/>
                                      </w:rPr>
                                      <w:t>损耗</w:t>
                                    </w:r>
                                    <w:r>
                                      <w:rPr>
                                        <w:rFonts w:hint="eastAsia"/>
                                        <w:lang w:val="en-US" w:eastAsia="zh-CN"/>
                                      </w:rPr>
                                      <w:t>168</w:t>
                                    </w:r>
                                  </w:p>
                                </w:txbxContent>
                              </wps:txbx>
                              <wps:bodyPr upright="1"/>
                            </wps:wsp>
                            <wps:wsp>
                              <wps:cNvPr id="207" name="1037"/>
                              <wps:cNvCnPr/>
                              <wps:spPr>
                                <a:xfrm>
                                  <a:off x="2449195" y="1047750"/>
                                  <a:ext cx="386080" cy="0"/>
                                </a:xfrm>
                                <a:prstGeom prst="straightConnector1">
                                  <a:avLst/>
                                </a:prstGeom>
                                <a:ln w="9525" cap="flat" cmpd="sng">
                                  <a:solidFill>
                                    <a:srgbClr val="000000"/>
                                  </a:solidFill>
                                  <a:prstDash val="solid"/>
                                  <a:headEnd type="none" w="med" len="med"/>
                                  <a:tailEnd type="triangle" w="med" len="med"/>
                                </a:ln>
                              </wps:spPr>
                              <wps:bodyPr/>
                            </wps:wsp>
                            <wps:wsp>
                              <wps:cNvPr id="208" name="1044"/>
                              <wps:cNvSpPr/>
                              <wps:spPr>
                                <a:xfrm>
                                  <a:off x="2439670" y="758190"/>
                                  <a:ext cx="495935" cy="233045"/>
                                </a:xfrm>
                                <a:prstGeom prst="rect">
                                  <a:avLst/>
                                </a:prstGeom>
                                <a:noFill/>
                                <a:ln>
                                  <a:noFill/>
                                </a:ln>
                              </wps:spPr>
                              <wps:txbx>
                                <w:txbxContent>
                                  <w:p w14:paraId="5484D435">
                                    <w:pPr>
                                      <w:rPr>
                                        <w:rFonts w:hint="default" w:eastAsia="宋体"/>
                                        <w:lang w:val="en-US" w:eastAsia="zh-CN"/>
                                      </w:rPr>
                                    </w:pPr>
                                    <w:r>
                                      <w:rPr>
                                        <w:rFonts w:hint="eastAsia"/>
                                        <w:lang w:val="en-US" w:eastAsia="zh-CN"/>
                                      </w:rPr>
                                      <w:t>1512</w:t>
                                    </w:r>
                                  </w:p>
                                </w:txbxContent>
                              </wps:txbx>
                              <wps:bodyPr upright="1"/>
                            </wps:wsp>
                            <wps:wsp>
                              <wps:cNvPr id="209" name="文本框 209"/>
                              <wps:cNvSpPr txBox="1"/>
                              <wps:spPr>
                                <a:xfrm>
                                  <a:off x="2889885" y="904875"/>
                                  <a:ext cx="773430" cy="3149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0749F8A">
                                    <w:pPr>
                                      <w:jc w:val="center"/>
                                      <w:rPr>
                                        <w:rFonts w:hint="default" w:eastAsia="宋体"/>
                                        <w:lang w:val="en-US" w:eastAsia="zh-CN"/>
                                      </w:rPr>
                                    </w:pPr>
                                    <w:r>
                                      <w:rPr>
                                        <w:rFonts w:hint="eastAsia"/>
                                        <w:lang w:val="en-US" w:eastAsia="zh-CN"/>
                                      </w:rPr>
                                      <w:t>生活污水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0" name="1037"/>
                              <wps:cNvCnPr/>
                              <wps:spPr>
                                <a:xfrm>
                                  <a:off x="3690620" y="1066800"/>
                                  <a:ext cx="386080" cy="0"/>
                                </a:xfrm>
                                <a:prstGeom prst="straightConnector1">
                                  <a:avLst/>
                                </a:prstGeom>
                                <a:ln w="9525" cap="flat" cmpd="sng">
                                  <a:solidFill>
                                    <a:srgbClr val="000000"/>
                                  </a:solidFill>
                                  <a:prstDash val="solid"/>
                                  <a:headEnd type="none" w="med" len="med"/>
                                  <a:tailEnd type="triangle" w="med" len="med"/>
                                </a:ln>
                              </wps:spPr>
                              <wps:bodyPr/>
                            </wps:wsp>
                            <wps:wsp>
                              <wps:cNvPr id="211" name="1044"/>
                              <wps:cNvSpPr/>
                              <wps:spPr>
                                <a:xfrm>
                                  <a:off x="3709670" y="749300"/>
                                  <a:ext cx="495935" cy="233045"/>
                                </a:xfrm>
                                <a:prstGeom prst="rect">
                                  <a:avLst/>
                                </a:prstGeom>
                                <a:noFill/>
                                <a:ln>
                                  <a:noFill/>
                                </a:ln>
                              </wps:spPr>
                              <wps:txbx>
                                <w:txbxContent>
                                  <w:p w14:paraId="6C682073">
                                    <w:pPr>
                                      <w:rPr>
                                        <w:rFonts w:hint="default" w:eastAsia="宋体"/>
                                        <w:lang w:val="en-US" w:eastAsia="zh-CN"/>
                                      </w:rPr>
                                    </w:pPr>
                                    <w:r>
                                      <w:rPr>
                                        <w:rFonts w:hint="eastAsia"/>
                                        <w:lang w:val="en-US" w:eastAsia="zh-CN"/>
                                      </w:rPr>
                                      <w:t>1512</w:t>
                                    </w:r>
                                  </w:p>
                                </w:txbxContent>
                              </wps:txbx>
                              <wps:bodyPr upright="1"/>
                            </wps:wsp>
                            <wps:wsp>
                              <wps:cNvPr id="212" name="1053"/>
                              <wps:cNvSpPr/>
                              <wps:spPr>
                                <a:xfrm>
                                  <a:off x="4168140" y="402590"/>
                                  <a:ext cx="1213485" cy="1365250"/>
                                </a:xfrm>
                                <a:prstGeom prst="rect">
                                  <a:avLst/>
                                </a:prstGeom>
                                <a:noFill/>
                                <a:ln>
                                  <a:noFill/>
                                </a:ln>
                              </wps:spPr>
                              <wps:txbx>
                                <w:txbxContent>
                                  <w:p w14:paraId="0741A491">
                                    <w:pPr>
                                      <w:rPr>
                                        <w:rFonts w:ascii="Times New Roman" w:hAnsi="宋体" w:eastAsia="宋体" w:cs="Times New Roman"/>
                                        <w:szCs w:val="21"/>
                                      </w:rPr>
                                    </w:pPr>
                                    <w:r>
                                      <w:rPr>
                                        <w:rFonts w:ascii="Times New Roman" w:hAnsi="宋体" w:eastAsia="宋体" w:cs="Times New Roman"/>
                                        <w:szCs w:val="21"/>
                                      </w:rPr>
                                      <w:t>生活污水经过三级化粪处理后，通过市政管网排入</w:t>
                                    </w:r>
                                    <w:r>
                                      <w:rPr>
                                        <w:rFonts w:hint="eastAsia" w:ascii="Times New Roman" w:hAnsi="宋体" w:eastAsia="宋体" w:cs="Times New Roman"/>
                                        <w:szCs w:val="21"/>
                                      </w:rPr>
                                      <w:t>中山市东凤镇污水处理有限责任公司</w:t>
                                    </w:r>
                                    <w:r>
                                      <w:rPr>
                                        <w:rFonts w:ascii="Times New Roman" w:hAnsi="宋体" w:eastAsia="宋体" w:cs="Times New Roman"/>
                                        <w:szCs w:val="21"/>
                                      </w:rPr>
                                      <w:t>处理达标后，排入</w:t>
                                    </w:r>
                                    <w:r>
                                      <w:rPr>
                                        <w:rFonts w:hint="eastAsia" w:ascii="Times New Roman" w:hAnsi="宋体" w:eastAsia="宋体" w:cs="Times New Roman"/>
                                        <w:szCs w:val="21"/>
                                      </w:rPr>
                                      <w:t>中心排河</w:t>
                                    </w:r>
                                    <w:r>
                                      <w:rPr>
                                        <w:rFonts w:ascii="Times New Roman" w:hAnsi="宋体" w:eastAsia="宋体" w:cs="Times New Roman"/>
                                        <w:szCs w:val="21"/>
                                      </w:rPr>
                                      <w:t>。</w:t>
                                    </w:r>
                                  </w:p>
                                  <w:p w14:paraId="1E8C9191">
                                    <w:pPr>
                                      <w:rPr>
                                        <w:rFonts w:hint="default" w:ascii="Times New Roman" w:hAnsi="宋体" w:eastAsia="宋体" w:cs="Times New Roman"/>
                                        <w:szCs w:val="21"/>
                                        <w:lang w:val="en-US"/>
                                      </w:rPr>
                                    </w:pPr>
                                  </w:p>
                                </w:txbxContent>
                              </wps:txbx>
                              <wps:bodyPr upright="1"/>
                            </wps:wsp>
                            <wps:wsp>
                              <wps:cNvPr id="8" name="直接连接符 8"/>
                              <wps:cNvCnPr/>
                              <wps:spPr>
                                <a:xfrm flipH="1">
                                  <a:off x="1172845" y="1073785"/>
                                  <a:ext cx="6985" cy="8953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 name="矩形 203"/>
                              <wps:cNvSpPr/>
                              <wps:spPr>
                                <a:xfrm>
                                  <a:off x="2436495" y="1290955"/>
                                  <a:ext cx="1028700" cy="279400"/>
                                </a:xfrm>
                                <a:prstGeom prst="rect">
                                  <a:avLst/>
                                </a:prstGeom>
                                <a:noFill/>
                                <a:ln>
                                  <a:noFill/>
                                </a:ln>
                                <a:effectLst/>
                              </wps:spPr>
                              <wps:txbx>
                                <w:txbxContent>
                                  <w:p w14:paraId="666ACC83">
                                    <w:pPr>
                                      <w:rPr>
                                        <w:rFonts w:hint="default" w:eastAsia="宋体"/>
                                        <w:lang w:val="en-US" w:eastAsia="zh-CN"/>
                                      </w:rPr>
                                    </w:pPr>
                                    <w:r>
                                      <w:rPr>
                                        <w:rFonts w:hint="eastAsia"/>
                                      </w:rPr>
                                      <w:t>损耗</w:t>
                                    </w:r>
                                    <w:r>
                                      <w:rPr>
                                        <w:rFonts w:hint="eastAsia"/>
                                        <w:lang w:val="en-US" w:eastAsia="zh-CN"/>
                                      </w:rPr>
                                      <w:t>18</w:t>
                                    </w:r>
                                  </w:p>
                                </w:txbxContent>
                              </wps:txbx>
                              <wps:bodyPr upright="1"/>
                            </wps:wsp>
                            <wps:wsp>
                              <wps:cNvPr id="204" name="任意多边形 204"/>
                              <wps:cNvSpPr/>
                              <wps:spPr>
                                <a:xfrm>
                                  <a:off x="2360295" y="1430655"/>
                                  <a:ext cx="254000" cy="266700"/>
                                </a:xfrm>
                                <a:custGeom>
                                  <a:avLst/>
                                  <a:gdLst>
                                    <a:gd name="A1" fmla="val -11796480"/>
                                    <a:gd name="A2" fmla="val 5400"/>
                                    <a:gd name="txL" fmla="*/ 0 w 674"/>
                                    <a:gd name="txT" fmla="*/ 0 h 421"/>
                                    <a:gd name="txR" fmla="*/ 674 w 674"/>
                                    <a:gd name="txB" fmla="*/ 421 h 421"/>
                                  </a:gdLst>
                                  <a:ahLst/>
                                  <a:cxnLst>
                                    <a:cxn ang="0">
                                      <a:pos x="0" y="267335"/>
                                    </a:cxn>
                                    <a:cxn ang="0">
                                      <a:pos x="94407" y="97155"/>
                                    </a:cxn>
                                    <a:cxn ang="0">
                                      <a:pos x="157602" y="194310"/>
                                    </a:cxn>
                                    <a:cxn ang="0">
                                      <a:pos x="259715" y="0"/>
                                    </a:cxn>
                                  </a:cxnLst>
                                  <a:rect l="txL" t="txT" r="txR" b="txB"/>
                                  <a:pathLst>
                                    <a:path w="674" h="421">
                                      <a:moveTo>
                                        <a:pt x="0" y="421"/>
                                      </a:moveTo>
                                      <a:cubicBezTo>
                                        <a:pt x="88" y="296"/>
                                        <a:pt x="177" y="172"/>
                                        <a:pt x="245" y="153"/>
                                      </a:cubicBezTo>
                                      <a:cubicBezTo>
                                        <a:pt x="313" y="134"/>
                                        <a:pt x="338" y="331"/>
                                        <a:pt x="409" y="306"/>
                                      </a:cubicBezTo>
                                      <a:cubicBezTo>
                                        <a:pt x="480" y="281"/>
                                        <a:pt x="635" y="51"/>
                                        <a:pt x="674" y="0"/>
                                      </a:cubicBezTo>
                                    </a:path>
                                  </a:pathLst>
                                </a:custGeom>
                                <a:noFill/>
                                <a:ln w="9525" cap="flat" cmpd="sng">
                                  <a:solidFill>
                                    <a:srgbClr val="000000"/>
                                  </a:solidFill>
                                  <a:prstDash val="dashDot"/>
                                  <a:headEnd type="none" w="med" len="med"/>
                                  <a:tailEnd type="none" w="med" len="med"/>
                                </a:ln>
                                <a:effectLst/>
                              </wps:spPr>
                              <wps:bodyPr upright="1"/>
                            </wps:wsp>
                            <wps:wsp>
                              <wps:cNvPr id="196" name="矩形 196"/>
                              <wps:cNvSpPr/>
                              <wps:spPr>
                                <a:xfrm>
                                  <a:off x="2781300" y="2044065"/>
                                  <a:ext cx="1130300" cy="279400"/>
                                </a:xfrm>
                                <a:prstGeom prst="rect">
                                  <a:avLst/>
                                </a:prstGeom>
                                <a:noFill/>
                                <a:ln>
                                  <a:noFill/>
                                </a:ln>
                                <a:effectLst/>
                              </wps:spPr>
                              <wps:txbx>
                                <w:txbxContent>
                                  <w:p w14:paraId="47D10796">
                                    <w:pPr>
                                      <w:ind w:firstLine="105" w:firstLineChars="50"/>
                                      <w:rPr>
                                        <w:rFonts w:hint="default" w:eastAsia="宋体"/>
                                        <w:lang w:val="en-US" w:eastAsia="zh-CN"/>
                                      </w:rPr>
                                    </w:pPr>
                                    <w:r>
                                      <w:rPr>
                                        <w:rFonts w:hint="eastAsia"/>
                                      </w:rPr>
                                      <w:t>循环水</w:t>
                                    </w:r>
                                    <w:r>
                                      <w:rPr>
                                        <w:rFonts w:hint="eastAsia"/>
                                        <w:lang w:val="en-US" w:eastAsia="zh-CN"/>
                                      </w:rPr>
                                      <w:t>1.2</w:t>
                                    </w:r>
                                  </w:p>
                                </w:txbxContent>
                              </wps:txbx>
                              <wps:bodyPr upright="1"/>
                            </wps:wsp>
                            <wps:wsp>
                              <wps:cNvPr id="198" name="直接箭头连接符 198"/>
                              <wps:cNvCnPr/>
                              <wps:spPr>
                                <a:xfrm>
                                  <a:off x="2425700" y="1967865"/>
                                  <a:ext cx="254000" cy="0"/>
                                </a:xfrm>
                                <a:prstGeom prst="straightConnector1">
                                  <a:avLst/>
                                </a:prstGeom>
                                <a:ln w="9525" cap="flat" cmpd="sng">
                                  <a:solidFill>
                                    <a:srgbClr val="000000"/>
                                  </a:solidFill>
                                  <a:prstDash val="solid"/>
                                  <a:headEnd type="none" w="med" len="med"/>
                                  <a:tailEnd type="none" w="med" len="med"/>
                                </a:ln>
                                <a:effectLst/>
                              </wps:spPr>
                              <wps:bodyPr/>
                            </wps:wsp>
                            <wps:wsp>
                              <wps:cNvPr id="199" name="直接箭头连接符 199"/>
                              <wps:cNvCnPr/>
                              <wps:spPr>
                                <a:xfrm flipV="1">
                                  <a:off x="2717800" y="1980565"/>
                                  <a:ext cx="0" cy="355600"/>
                                </a:xfrm>
                                <a:prstGeom prst="straightConnector1">
                                  <a:avLst/>
                                </a:prstGeom>
                                <a:ln w="9525" cap="flat" cmpd="sng">
                                  <a:solidFill>
                                    <a:srgbClr val="000000"/>
                                  </a:solidFill>
                                  <a:prstDash val="solid"/>
                                  <a:headEnd type="none" w="med" len="med"/>
                                  <a:tailEnd type="none" w="med" len="med"/>
                                </a:ln>
                                <a:effectLst/>
                              </wps:spPr>
                              <wps:bodyPr/>
                            </wps:wsp>
                            <wps:wsp>
                              <wps:cNvPr id="200" name="直接箭头连接符 200"/>
                              <wps:cNvCnPr/>
                              <wps:spPr>
                                <a:xfrm flipV="1">
                                  <a:off x="2095500" y="2348865"/>
                                  <a:ext cx="622300" cy="0"/>
                                </a:xfrm>
                                <a:prstGeom prst="straightConnector1">
                                  <a:avLst/>
                                </a:prstGeom>
                                <a:ln w="9525" cap="flat" cmpd="sng">
                                  <a:solidFill>
                                    <a:srgbClr val="000000"/>
                                  </a:solidFill>
                                  <a:prstDash val="solid"/>
                                  <a:headEnd type="none" w="med" len="med"/>
                                  <a:tailEnd type="none" w="med" len="med"/>
                                </a:ln>
                                <a:effectLst/>
                              </wps:spPr>
                              <wps:bodyPr/>
                            </wps:wsp>
                            <wps:wsp>
                              <wps:cNvPr id="201" name="直接箭头连接符 201"/>
                              <wps:cNvCnPr/>
                              <wps:spPr>
                                <a:xfrm flipV="1">
                                  <a:off x="2095500" y="2145665"/>
                                  <a:ext cx="0" cy="203200"/>
                                </a:xfrm>
                                <a:prstGeom prst="straightConnector1">
                                  <a:avLst/>
                                </a:prstGeom>
                                <a:ln w="9525" cap="flat" cmpd="sng">
                                  <a:solidFill>
                                    <a:srgbClr val="000000"/>
                                  </a:solidFill>
                                  <a:prstDash val="solid"/>
                                  <a:headEnd type="none" w="med" len="med"/>
                                  <a:tailEnd type="triangle" w="med" len="med"/>
                                </a:ln>
                                <a:effectLst/>
                              </wps:spPr>
                              <wps:bodyPr/>
                            </wps:wsp>
                          </wpc:wpc>
                        </a:graphicData>
                      </a:graphic>
                    </wp:inline>
                  </w:drawing>
                </mc:Choice>
                <mc:Fallback>
                  <w:pict>
                    <v:group id="_x0000_s1026" o:spid="_x0000_s1026" o:spt="203" style="height:200.8pt;width:427.85pt;" coordsize="5433695,2550160" editas="canvas"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">
                      <o:lock v:ext="edit" aspectratio="f"/>
                      <v:shape id="_x0000_s1026" o:spid="_x0000_s1026" style="position:absolute;left:0;top:0;height:2550160;width:5433695;"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">
                        <v:fill on="f" focussize="0,0"/>
                        <v:stroke on="f"/>
                        <v:imagedata o:title=""/>
                        <o:lock v:ext="edit" aspectratio="f"/>
                      </v:shape>
                      <v:shape id="_x0000_s1026" o:spid="_x0000_s1026" o:spt="202" type="#_x0000_t202" style="position:absolute;left:190500;top:1175385;height:436245;width:661670;" fillcolor="#FFFFFF [3201]" filled="t" stroked="t" coordsize="21600,21600" o:gfxdata="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6oFmv1AAAAAUBAAAPAAAAAAAAAAEAIAAAACIAAABkcnMvZG93bnJldi54bWxQSwECFAAUAAAA&#10;CACHTuJAYb0PRGQCAADFBAAADgAAAAAAAAABACAAAAAjAQAAZHJzL2Uyb0RvYy54bWxQSwUGAAAA&#10;AAYABgBZAQAA+QUAAAAA&#10;">
                        <v:fill on="t" focussize="0,0"/>
                        <v:stroke weight="0.5pt" color="#000000 [3204]" joinstyle="round"/>
                        <v:imagedata o:title=""/>
                        <o:lock v:ext="edit" aspectratio="f"/>
                        <v:textbox>
                          <w:txbxContent>
                            <w:p w14:paraId="5DBB03A7">
                              <w:pPr>
                                <w:rPr>
                                  <w:rFonts w:hint="eastAsia"/>
                                  <w:lang w:val="en-US" w:eastAsia="zh-CN"/>
                                </w:rPr>
                              </w:pPr>
                              <w:r>
                                <w:rPr>
                                  <w:rFonts w:hint="eastAsia"/>
                                  <w:lang w:val="en-US" w:eastAsia="zh-CN"/>
                                </w:rPr>
                                <w:t>自来水</w:t>
                              </w:r>
                            </w:p>
                            <w:p w14:paraId="66FF60FA">
                              <w:pPr>
                                <w:jc w:val="center"/>
                                <w:rPr>
                                  <w:rFonts w:hint="default" w:eastAsia="宋体"/>
                                  <w:lang w:val="en-US" w:eastAsia="zh-CN"/>
                                </w:rPr>
                              </w:pPr>
                              <w:r>
                                <w:rPr>
                                  <w:rFonts w:hint="eastAsia"/>
                                  <w:lang w:val="en-US" w:eastAsia="zh-CN"/>
                                </w:rPr>
                                <w:t>1698</w:t>
                              </w:r>
                            </w:p>
                          </w:txbxContent>
                        </v:textbox>
                      </v:shape>
                      <v:shape id="_x0000_s1026" o:spid="_x0000_s1026" o:spt="202" type="#_x0000_t202" style="position:absolute;left:1629410;top:895350;height:314960;width:773430;" fillcolor="#FFFFFF [3201]" filled="t" stroked="t" coordsize="21600,21600" o:gfxdata="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qgWa/UAAAABQEAAA8AAAAAAAAAAQAgAAAAIgAAAGRycy9kb3ducmV2LnhtbFBLAQIUABQAAAAI&#10;AIdO4kDuWtNmYwIAAMUEAAAOAAAAAAAAAAEAIAAAACMBAABkcnMvZTJvRG9jLnhtbFBLBQYAAAAA&#10;BgAGAFkBAAD4BQAAAAA=&#10;">
                        <v:fill on="t" focussize="0,0"/>
                        <v:stroke weight="0.5pt" color="#000000 [3204]" joinstyle="round"/>
                        <v:imagedata o:title=""/>
                        <o:lock v:ext="edit" aspectratio="f"/>
                        <v:textbox>
                          <w:txbxContent>
                            <w:p w14:paraId="291F36C7">
                              <w:pPr>
                                <w:jc w:val="center"/>
                                <w:rPr>
                                  <w:rFonts w:hint="default" w:eastAsia="宋体"/>
                                  <w:lang w:val="en-US" w:eastAsia="zh-CN"/>
                                </w:rPr>
                              </w:pPr>
                              <w:r>
                                <w:rPr>
                                  <w:rFonts w:hint="eastAsia"/>
                                  <w:lang w:val="en-US" w:eastAsia="zh-CN"/>
                                </w:rPr>
                                <w:t>生活用水</w:t>
                              </w:r>
                            </w:p>
                          </w:txbxContent>
                        </v:textbox>
                      </v:shape>
                      <v:shape id="1041" o:spid="_x0000_s1026" o:spt="100" style="position:absolute;left:2000885;top:581025;height:267335;width:259715;" filled="f" stroked="t" coordsize="674,421" o:gfxdata="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sUNS8tYAAAAFAQAADwAAAAAAAAABACAAAAAiAAAA&#10;ZHJzL2Rvd25yZXYueG1sUEsBAhQAFAAAAAgAh07iQOXcLgMmAwAAawcAAA4AAAAAAAAAAQAgAAAA&#10;JQEAAGRycy9lMm9Eb2MueG1sUEsFBgAAAAAGAAYAWQEAAL0GAAAAAA==&#10;" path="m0,421c88,296,177,172,245,153c313,134,338,331,409,306c480,281,635,51,674,0e">
                        <v:path o:connectlocs="0,267335;94407,97155;157602,194310;259715,0" o:connectangles="0,0,0,0"/>
                        <v:fill on="f" focussize="0,0"/>
                        <v:stroke color="#000000" joinstyle="round" dashstyle="dashDot"/>
                        <v:imagedata o:title=""/>
                        <o:lock v:ext="edit" aspectratio="f"/>
                      </v:shape>
                      <v:rect id="1047" o:spid="_x0000_s1026" o:spt="1" style="position:absolute;left:1160780;top:1615440;height:309880;width:488950;"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OGHU31wAAAAUBAAAPAAAAAAAA&#10;AAEAIAAAACIAAABkcnMvZG93bnJldi54bWxQSwECFAAUAAAACACHTuJAD2DmnqEBAABKAwAADgAA&#10;AAAAAAABACAAAAAmAQAAZHJzL2Uyb0RvYy54bWxQSwUGAAAAAAYABgBZAQAAOQUAAAAA&#10;">
                        <v:fill on="f" focussize="0,0"/>
                        <v:stroke on="f"/>
                        <v:imagedata o:title=""/>
                        <o:lock v:ext="edit" aspectratio="f"/>
                        <v:textbox>
                          <w:txbxContent>
                            <w:p w14:paraId="488E6BD8">
                              <w:pPr>
                                <w:pStyle w:val="61"/>
                                <w:rPr>
                                  <w:rFonts w:hint="default" w:ascii="Times New Roman" w:hAnsi="Times New Roman" w:eastAsia="宋体"/>
                                  <w:sz w:val="21"/>
                                  <w:lang w:val="en-US" w:eastAsia="zh-CN"/>
                                </w:rPr>
                              </w:pPr>
                              <w:r>
                                <w:rPr>
                                  <w:rFonts w:hint="eastAsia" w:ascii="Times New Roman" w:hAnsi="Times New Roman"/>
                                  <w:sz w:val="21"/>
                                  <w:lang w:val="en-US" w:eastAsia="zh-CN"/>
                                </w:rPr>
                                <w:t>18</w:t>
                              </w:r>
                            </w:p>
                          </w:txbxContent>
                        </v:textbox>
                      </v:rect>
                      <v:shape id="1037" o:spid="_x0000_s1026" o:spt="32" type="#_x0000_t32" style="position:absolute;left:1188085;top:1960245;height:0;width:386080;" filled="f" stroked="t" coordsize="21600,21600" o:gfxdata="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uQSSUtcAAAAFAQAADwAAAAAAAAABACAAAAAiAAAAZHJzL2Rvd25yZXYueG1sUEsBAhQAFAAA&#10;AAgAh07iQJON6RDwAQAA6gMAAA4AAAAAAAAAAQAgAAAAJgEAAGRycy9lMm9Eb2MueG1sUEsFBgAA&#10;AAAGAAYAWQEAAIgFAAAAAA==&#10;">
                        <v:fill on="f" focussize="0,0"/>
                        <v:stroke color="#000000" joinstyle="round" endarrow="block"/>
                        <v:imagedata o:title=""/>
                        <o:lock v:ext="edit" aspectratio="f"/>
                      </v:shape>
                      <v:shape id="1037" o:spid="_x0000_s1026" o:spt="32" type="#_x0000_t32" style="position:absolute;left:1169035;top:1067435;height:0;width:386080;" filled="f" stroked="t" coordsize="21600,21600" o:gfxdata="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5BJJS1wAAAAUBAAAPAAAAAAAAAAEAIAAAACIAAABkcnMvZG93bnJldi54bWxQSwECFAAUAAAA&#10;CACHTuJA1EUJze8BAADqAwAADgAAAAAAAAABACAAAAAmAQAAZHJzL2Uyb0RvYy54bWxQSwUGAAAA&#10;AAYABgBZAQAAhwUAAAAA&#10;">
                        <v:fill on="f" focussize="0,0"/>
                        <v:stroke color="#000000" joinstyle="round" endarrow="block"/>
                        <v:imagedata o:title=""/>
                        <o:lock v:ext="edit" aspectratio="f"/>
                      </v:shape>
                      <v:rect id="1044" o:spid="_x0000_s1026" o:spt="1" style="position:absolute;left:1094740;top:777240;height:233045;width:495935;"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OGHU31wAAAAUBAAAPAAAAAAAA&#10;AAEAIAAAACIAAABkcnMvZG93bnJldi54bWxQSwECFAAUAAAACACHTuJAN7q6SaEBAABJAwAADgAA&#10;AAAAAAABACAAAAAmAQAAZHJzL2Uyb0RvYy54bWxQSwUGAAAAAAYABgBZAQAAOQUAAAAA&#10;">
                        <v:fill on="f" focussize="0,0"/>
                        <v:stroke on="f"/>
                        <v:imagedata o:title=""/>
                        <o:lock v:ext="edit" aspectratio="f"/>
                        <v:textbox>
                          <w:txbxContent>
                            <w:p w14:paraId="3CE0DCD6">
                              <w:pPr>
                                <w:rPr>
                                  <w:rFonts w:hint="default" w:eastAsia="宋体"/>
                                  <w:lang w:val="en-US" w:eastAsia="zh-CN"/>
                                </w:rPr>
                              </w:pPr>
                              <w:r>
                                <w:rPr>
                                  <w:rFonts w:hint="eastAsia"/>
                                  <w:lang w:val="en-US" w:eastAsia="zh-CN"/>
                                </w:rPr>
                                <w:t>1680</w:t>
                              </w:r>
                            </w:p>
                          </w:txbxContent>
                        </v:textbox>
                      </v:rect>
                      <v:shape id="_x0000_s1026" o:spid="_x0000_s1026" o:spt="202" type="#_x0000_t202" style="position:absolute;left:1609725;top:1798320;height:314960;width:773430;" fillcolor="#FFFFFF [3201]" filled="t" stroked="t" coordsize="21600,21600" o:gfxdata="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qBZr9QAAAAFAQAADwAAAAAAAAABACAAAAAiAAAAZHJzL2Rvd25yZXYueG1sUEsBAhQAFAAA&#10;AAgAh07iQNqtos1lAgAAxgQAAA4AAAAAAAAAAQAgAAAAIwEAAGRycy9lMm9Eb2MueG1sUEsFBgAA&#10;AAAGAAYAWQEAAPoFAAAAAA==&#10;">
                        <v:fill on="t" focussize="0,0"/>
                        <v:stroke weight="0.5pt" color="#000000 [3204]" joinstyle="round"/>
                        <v:imagedata o:title=""/>
                        <o:lock v:ext="edit" aspectratio="f"/>
                        <v:textbox>
                          <w:txbxContent>
                            <w:p w14:paraId="5BDA101E">
                              <w:pPr>
                                <w:jc w:val="center"/>
                                <w:rPr>
                                  <w:rFonts w:hint="default" w:eastAsia="宋体"/>
                                  <w:lang w:val="en-US" w:eastAsia="zh-CN"/>
                                </w:rPr>
                              </w:pPr>
                              <w:r>
                                <w:rPr>
                                  <w:rFonts w:hint="eastAsia"/>
                                  <w:lang w:val="en-US" w:eastAsia="zh-CN"/>
                                </w:rPr>
                                <w:t>冷却用水</w:t>
                              </w:r>
                            </w:p>
                          </w:txbxContent>
                        </v:textbox>
                      </v:shape>
                      <v:rect id="1043" o:spid="_x0000_s1026" o:spt="1" style="position:absolute;left:1869440;top:291465;height:281305;width:1038860;"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zhh1N9cAAAAFAQAADwAAAAAAAAAB&#10;ACAAAAAiAAAAZHJzL2Rvd25yZXYueG1sUEsBAhQAFAAAAAgAh07iQPpbRQGfAQAASgMAAA4AAAAA&#10;AAAAAQAgAAAAJgEAAGRycy9lMm9Eb2MueG1sUEsFBgAAAAAGAAYAWQEAADcFAAAAAA==&#10;">
                        <v:fill on="f" focussize="0,0"/>
                        <v:stroke on="f"/>
                        <v:imagedata o:title=""/>
                        <o:lock v:ext="edit" aspectratio="f"/>
                        <v:textbox>
                          <w:txbxContent>
                            <w:p w14:paraId="4CD517B1">
                              <w:pPr>
                                <w:rPr>
                                  <w:rFonts w:hint="default" w:eastAsia="宋体"/>
                                  <w:lang w:val="en-US" w:eastAsia="zh-CN"/>
                                </w:rPr>
                              </w:pPr>
                              <w:r>
                                <w:rPr>
                                  <w:rFonts w:hint="eastAsia"/>
                                </w:rPr>
                                <w:t>损耗</w:t>
                              </w:r>
                              <w:r>
                                <w:rPr>
                                  <w:rFonts w:hint="eastAsia"/>
                                  <w:lang w:val="en-US" w:eastAsia="zh-CN"/>
                                </w:rPr>
                                <w:t>168</w:t>
                              </w:r>
                            </w:p>
                          </w:txbxContent>
                        </v:textbox>
                      </v:rect>
                      <v:shape id="1037" o:spid="_x0000_s1026" o:spt="32" type="#_x0000_t32" style="position:absolute;left:2449195;top:1047750;height:0;width:386080;" filled="f" stroked="t" coordsize="21600,21600" o:gfxdata="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LkEklLXAAAABQEAAA8AAAAAAAAAAQAgAAAAIgAAAGRycy9kb3ducmV2LnhtbFBLAQIUABQA&#10;AAAIAIdO4kA1GzMs8QEAAOoDAAAOAAAAAAAAAAEAIAAAACYBAABkcnMvZTJvRG9jLnhtbFBLBQYA&#10;AAAABgAGAFkBAACJBQAAAAA=&#10;">
                        <v:fill on="f" focussize="0,0"/>
                        <v:stroke color="#000000" joinstyle="round" endarrow="block"/>
                        <v:imagedata o:title=""/>
                        <o:lock v:ext="edit" aspectratio="f"/>
                      </v:shape>
                      <v:rect id="1044" o:spid="_x0000_s1026" o:spt="1" style="position:absolute;left:2439670;top:758190;height:233045;width:495935;"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zhh1N9cAAAAFAQAADwAAAAAA&#10;AAABACAAAAAiAAAAZHJzL2Rvd25yZXYueG1sUEsBAhQAFAAAAAgAh07iQJyY8ZWiAQAASQMAAA4A&#10;AAAAAAAAAQAgAAAAJgEAAGRycy9lMm9Eb2MueG1sUEsFBgAAAAAGAAYAWQEAADoFAAAAAA==&#10;">
                        <v:fill on="f" focussize="0,0"/>
                        <v:stroke on="f"/>
                        <v:imagedata o:title=""/>
                        <o:lock v:ext="edit" aspectratio="f"/>
                        <v:textbox>
                          <w:txbxContent>
                            <w:p w14:paraId="5484D435">
                              <w:pPr>
                                <w:rPr>
                                  <w:rFonts w:hint="default" w:eastAsia="宋体"/>
                                  <w:lang w:val="en-US" w:eastAsia="zh-CN"/>
                                </w:rPr>
                              </w:pPr>
                              <w:r>
                                <w:rPr>
                                  <w:rFonts w:hint="eastAsia"/>
                                  <w:lang w:val="en-US" w:eastAsia="zh-CN"/>
                                </w:rPr>
                                <w:t>1512</w:t>
                              </w:r>
                            </w:p>
                          </w:txbxContent>
                        </v:textbox>
                      </v:rect>
                      <v:shape id="_x0000_s1026" o:spid="_x0000_s1026" o:spt="202" type="#_x0000_t202" style="position:absolute;left:2889885;top:904875;height:314960;width:773430;" fillcolor="#FFFFFF [3201]" filled="t" stroked="t" coordsize="21600,21600" o:gfxdata="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6oFmv1AAAAAUBAAAPAAAAAAAAAAEAIAAAACIAAABkcnMvZG93bnJldi54bWxQSwECFAAU&#10;AAAACACHTuJAX8rPkWcCAADFBAAADgAAAAAAAAABACAAAAAjAQAAZHJzL2Uyb0RvYy54bWxQSwUG&#10;AAAAAAYABgBZAQAA/AUAAAAA&#10;">
                        <v:fill on="t" focussize="0,0"/>
                        <v:stroke weight="0.5pt" color="#000000 [3204]" joinstyle="round"/>
                        <v:imagedata o:title=""/>
                        <o:lock v:ext="edit" aspectratio="f"/>
                        <v:textbox>
                          <w:txbxContent>
                            <w:p w14:paraId="30749F8A">
                              <w:pPr>
                                <w:jc w:val="center"/>
                                <w:rPr>
                                  <w:rFonts w:hint="default" w:eastAsia="宋体"/>
                                  <w:lang w:val="en-US" w:eastAsia="zh-CN"/>
                                </w:rPr>
                              </w:pPr>
                              <w:r>
                                <w:rPr>
                                  <w:rFonts w:hint="eastAsia"/>
                                  <w:lang w:val="en-US" w:eastAsia="zh-CN"/>
                                </w:rPr>
                                <w:t>生活污水</w:t>
                              </w:r>
                            </w:p>
                          </w:txbxContent>
                        </v:textbox>
                      </v:shape>
                      <v:shape id="1037" o:spid="_x0000_s1026" o:spt="32" type="#_x0000_t32" style="position:absolute;left:3690620;top:1066800;height:0;width:386080;" filled="f" stroked="t" coordsize="21600,21600" o:gfxdata="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5BJJS1wAAAAUBAAAPAAAAAAAAAAEAIAAAACIAAABkcnMvZG93bnJldi54bWxQSwECFAAUAAAA&#10;CACHTuJA9BsyTe8BAADqAwAADgAAAAAAAAABACAAAAAmAQAAZHJzL2Uyb0RvYy54bWxQSwUGAAAA&#10;AAYABgBZAQAAhwUAAAAA&#10;">
                        <v:fill on="f" focussize="0,0"/>
                        <v:stroke color="#000000" joinstyle="round" endarrow="block"/>
                        <v:imagedata o:title=""/>
                        <o:lock v:ext="edit" aspectratio="f"/>
                      </v:shape>
                      <v:rect id="1044" o:spid="_x0000_s1026" o:spt="1" style="position:absolute;left:3709670;top:749300;height:233045;width:495935;"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OGHU31wAAAAUBAAAPAAAAAAAA&#10;AAEAIAAAACIAAABkcnMvZG93bnJldi54bWxQSwECFAAUAAAACACHTuJAgazLyqEBAABJAwAADgAA&#10;AAAAAAABACAAAAAmAQAAZHJzL2Uyb0RvYy54bWxQSwUGAAAAAAYABgBZAQAAOQUAAAAA&#10;">
                        <v:fill on="f" focussize="0,0"/>
                        <v:stroke on="f"/>
                        <v:imagedata o:title=""/>
                        <o:lock v:ext="edit" aspectratio="f"/>
                        <v:textbox>
                          <w:txbxContent>
                            <w:p w14:paraId="6C682073">
                              <w:pPr>
                                <w:rPr>
                                  <w:rFonts w:hint="default" w:eastAsia="宋体"/>
                                  <w:lang w:val="en-US" w:eastAsia="zh-CN"/>
                                </w:rPr>
                              </w:pPr>
                              <w:r>
                                <w:rPr>
                                  <w:rFonts w:hint="eastAsia"/>
                                  <w:lang w:val="en-US" w:eastAsia="zh-CN"/>
                                </w:rPr>
                                <w:t>1512</w:t>
                              </w:r>
                            </w:p>
                          </w:txbxContent>
                        </v:textbox>
                      </v:rect>
                      <v:rect id="1053" o:spid="_x0000_s1026" o:spt="1" style="position:absolute;left:4168140;top:402590;height:1365250;width:1213485;"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zhh1N9cAAAAFAQAADwAAAAAA&#10;AAABACAAAAAiAAAAZHJzL2Rvd25yZXYueG1sUEsBAhQAFAAAAAgAh07iQAQkkU+iAQAASwMAAA4A&#10;AAAAAAAAAQAgAAAAJgEAAGRycy9lMm9Eb2MueG1sUEsFBgAAAAAGAAYAWQEAADoFAAAAAA==&#10;">
                        <v:fill on="f" focussize="0,0"/>
                        <v:stroke on="f"/>
                        <v:imagedata o:title=""/>
                        <o:lock v:ext="edit" aspectratio="f"/>
                        <v:textbox>
                          <w:txbxContent>
                            <w:p w14:paraId="0741A491">
                              <w:pPr>
                                <w:rPr>
                                  <w:rFonts w:ascii="Times New Roman" w:hAnsi="宋体" w:eastAsia="宋体" w:cs="Times New Roman"/>
                                  <w:szCs w:val="21"/>
                                </w:rPr>
                              </w:pPr>
                              <w:r>
                                <w:rPr>
                                  <w:rFonts w:ascii="Times New Roman" w:hAnsi="宋体" w:eastAsia="宋体" w:cs="Times New Roman"/>
                                  <w:szCs w:val="21"/>
                                </w:rPr>
                                <w:t>生活污水经过三级化粪处理后，通过市政管网排入</w:t>
                              </w:r>
                              <w:r>
                                <w:rPr>
                                  <w:rFonts w:hint="eastAsia" w:ascii="Times New Roman" w:hAnsi="宋体" w:eastAsia="宋体" w:cs="Times New Roman"/>
                                  <w:szCs w:val="21"/>
                                </w:rPr>
                                <w:t>中山市东凤镇污水处理有限责任公司</w:t>
                              </w:r>
                              <w:r>
                                <w:rPr>
                                  <w:rFonts w:ascii="Times New Roman" w:hAnsi="宋体" w:eastAsia="宋体" w:cs="Times New Roman"/>
                                  <w:szCs w:val="21"/>
                                </w:rPr>
                                <w:t>处理达标后，排入</w:t>
                              </w:r>
                              <w:r>
                                <w:rPr>
                                  <w:rFonts w:hint="eastAsia" w:ascii="Times New Roman" w:hAnsi="宋体" w:eastAsia="宋体" w:cs="Times New Roman"/>
                                  <w:szCs w:val="21"/>
                                </w:rPr>
                                <w:t>中心排河</w:t>
                              </w:r>
                              <w:r>
                                <w:rPr>
                                  <w:rFonts w:ascii="Times New Roman" w:hAnsi="宋体" w:eastAsia="宋体" w:cs="Times New Roman"/>
                                  <w:szCs w:val="21"/>
                                </w:rPr>
                                <w:t>。</w:t>
                              </w:r>
                            </w:p>
                            <w:p w14:paraId="1E8C9191">
                              <w:pPr>
                                <w:rPr>
                                  <w:rFonts w:hint="default" w:ascii="Times New Roman" w:hAnsi="宋体" w:eastAsia="宋体" w:cs="Times New Roman"/>
                                  <w:szCs w:val="21"/>
                                  <w:lang w:val="en-US"/>
                                </w:rPr>
                              </w:pPr>
                            </w:p>
                          </w:txbxContent>
                        </v:textbox>
                      </v:rect>
                      <v:line id="_x0000_s1026" o:spid="_x0000_s1026" o:spt="20" style="position:absolute;left:1172845;top:1073785;flip:x;height:895350;width:6985;" filled="f" stroked="t" coordsize="21600,21600" o:gfxdata="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wqRObVAAAABQEAAA8AAAAAAAAAAQAgAAAAIgAAAGRycy9kb3ducmV2LnhtbFBLAQIUABQAAAAI&#10;AIdO4kD5UZ5Z8AEAALIDAAAOAAAAAAAAAAEAIAAAACQBAABkcnMvZTJvRG9jLnhtbFBLBQYAAAAA&#10;BgAGAFkBAACGBQAAAAA=&#10;">
                        <v:fill on="f" focussize="0,0"/>
                        <v:stroke color="#000000 [3213]" joinstyle="round"/>
                        <v:imagedata o:title=""/>
                        <o:lock v:ext="edit" aspectratio="f"/>
                      </v:line>
                      <v:rect id="_x0000_s1026" o:spid="_x0000_s1026" o:spt="1" style="position:absolute;left:2436495;top:1290955;height:279400;width:1028700;"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zhh1N9cAAAAFAQAADwAAAAAAAAABACAAAAAiAAAAZHJzL2Rvd25yZXYueG1sUEsBAhQAFAAA&#10;AAgAh07iQKp5LRO3AQAAXwMAAA4AAAAAAAAAAQAgAAAAJgEAAGRycy9lMm9Eb2MueG1sUEsFBgAA&#10;AAAGAAYAWQEAAE8FAAAAAA==&#10;">
                        <v:fill on="f" focussize="0,0"/>
                        <v:stroke on="f"/>
                        <v:imagedata o:title=""/>
                        <o:lock v:ext="edit" aspectratio="f"/>
                        <v:textbox>
                          <w:txbxContent>
                            <w:p w14:paraId="666ACC83">
                              <w:pPr>
                                <w:rPr>
                                  <w:rFonts w:hint="default" w:eastAsia="宋体"/>
                                  <w:lang w:val="en-US" w:eastAsia="zh-CN"/>
                                </w:rPr>
                              </w:pPr>
                              <w:r>
                                <w:rPr>
                                  <w:rFonts w:hint="eastAsia"/>
                                </w:rPr>
                                <w:t>损耗</w:t>
                              </w:r>
                              <w:r>
                                <w:rPr>
                                  <w:rFonts w:hint="eastAsia"/>
                                  <w:lang w:val="en-US" w:eastAsia="zh-CN"/>
                                </w:rPr>
                                <w:t>18</w:t>
                              </w:r>
                            </w:p>
                          </w:txbxContent>
                        </v:textbox>
                      </v:rect>
                      <v:shape id="_x0000_s1026" o:spid="_x0000_s1026" o:spt="100" style="position:absolute;left:2360295;top:1430655;height:266700;width:254000;" filled="f" stroked="t" coordsize="674,421" o:gfxdata="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" path="m0,421c88,296,177,172,245,153c313,134,338,331,409,306c480,281,635,51,674,0e">
                        <v:path o:connectlocs="0,267335;94407,97155;157602,194310;259715,0" o:connectangles="0,0,0,0"/>
                        <v:fill on="f" focussize="0,0"/>
                        <v:stroke color="#000000" joinstyle="round" dashstyle="dashDot"/>
                        <v:imagedata o:title=""/>
                        <o:lock v:ext="edit" aspectratio="f"/>
                      </v:shape>
                      <v:rect id="_x0000_s1026" o:spid="_x0000_s1026" o:spt="1" style="position:absolute;left:2781300;top:2044065;height:279400;width:1130300;" filled="f" stroked="f" coordsize="21600,21600" o:gfxdata="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4Y&#10;dTfXAAAABQEAAA8AAAAAAAAAAQAgAAAAIgAAAGRycy9kb3ducmV2LnhtbFBLAQIUABQAAAAIAIdO&#10;4kB9lG7UsgEAAF8DAAAOAAAAAAAAAAEAIAAAACYBAABkcnMvZTJvRG9jLnhtbFBLBQYAAAAABgAG&#10;AFkBAABKBQAAAAA=&#10;">
                        <v:fill on="f" focussize="0,0"/>
                        <v:stroke on="f"/>
                        <v:imagedata o:title=""/>
                        <o:lock v:ext="edit" aspectratio="f"/>
                        <v:textbox>
                          <w:txbxContent>
                            <w:p w14:paraId="47D10796">
                              <w:pPr>
                                <w:ind w:firstLine="105" w:firstLineChars="50"/>
                                <w:rPr>
                                  <w:rFonts w:hint="default" w:eastAsia="宋体"/>
                                  <w:lang w:val="en-US" w:eastAsia="zh-CN"/>
                                </w:rPr>
                              </w:pPr>
                              <w:r>
                                <w:rPr>
                                  <w:rFonts w:hint="eastAsia"/>
                                </w:rPr>
                                <w:t>循环水</w:t>
                              </w:r>
                              <w:r>
                                <w:rPr>
                                  <w:rFonts w:hint="eastAsia"/>
                                  <w:lang w:val="en-US" w:eastAsia="zh-CN"/>
                                </w:rPr>
                                <w:t>1.2</w:t>
                              </w:r>
                            </w:p>
                          </w:txbxContent>
                        </v:textbox>
                      </v:rect>
                      <v:shape id="_x0000_s1026" o:spid="_x0000_s1026" o:spt="32" type="#_x0000_t32" style="position:absolute;left:2425700;top:1967865;height:0;width:254000;" filled="f" stroked="t" coordsize="21600,21600" o:gfxdata="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twPie1gAAAAUBAAAPAAAAAAAAAAEA&#10;IAAAACIAAABkcnMvZG93bnJldi54bWxQSwECFAAUAAAACACHTuJAf0s18RECAAAJBAAADgAAAAAA&#10;AAABACAAAAAlAQAAZHJzL2Uyb0RvYy54bWxQSwUGAAAAAAYABgBZAQAAqAUAAAAA&#10;">
                        <v:fill on="f" focussize="0,0"/>
                        <v:stroke color="#000000" joinstyle="round"/>
                        <v:imagedata o:title=""/>
                        <o:lock v:ext="edit" aspectratio="f"/>
                      </v:shape>
                      <v:shape id="_x0000_s1026" o:spid="_x0000_s1026" o:spt="32" type="#_x0000_t32" style="position:absolute;left:2717800;top:1980565;flip:y;height:355600;width:0;" filled="f" stroked="t" coordsize="21600,21600" o:gfxdata="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BBsqdUAAAAFAQAADwAAAAAA&#10;AAABACAAAAAiAAAAZHJzL2Rvd25yZXYueG1sUEsBAhQAFAAAAAgAh07iQN0j9rYWAgAAEwQAAA4A&#10;AAAAAAAAAQAgAAAAJAEAAGRycy9lMm9Eb2MueG1sUEsFBgAAAAAGAAYAWQEAAKwFAAAAAA==&#10;">
                        <v:fill on="f" focussize="0,0"/>
                        <v:stroke color="#000000" joinstyle="round"/>
                        <v:imagedata o:title=""/>
                        <o:lock v:ext="edit" aspectratio="f"/>
                      </v:shape>
                      <v:shape id="_x0000_s1026" o:spid="_x0000_s1026" o:spt="32" type="#_x0000_t32" style="position:absolute;left:2095500;top:2348865;flip:y;height:0;width:622300;" filled="f" stroked="t" coordsize="21600,21600" o:gfxdata="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QEGyp1QAAAAUBAAAPAAAAAAAA&#10;AAEAIAAAACIAAABkcnMvZG93bnJldi54bWxQSwECFAAUAAAACACHTuJAVTSnQBUCAAATBAAADgAA&#10;AAAAAAABACAAAAAkAQAAZHJzL2Uyb0RvYy54bWxQSwUGAAAAAAYABgBZAQAAqwUAAAAA&#10;">
                        <v:fill on="f" focussize="0,0"/>
                        <v:stroke color="#000000" joinstyle="round"/>
                        <v:imagedata o:title=""/>
                        <o:lock v:ext="edit" aspectratio="f"/>
                      </v:shape>
                      <v:shape id="_x0000_s1026" o:spid="_x0000_s1026" o:spt="32" type="#_x0000_t32" style="position:absolute;left:2095500;top:2145665;flip:y;height:203200;width:0;" filled="f" stroked="t" coordsize="21600,21600" o:gfxdata="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JmLos1gAAAAUBAAAP&#10;AAAAAAAAAAEAIAAAACIAAABkcnMvZG93bnJldi54bWxQSwECFAAUAAAACACHTuJA/5MoVBoCAAAX&#10;BAAADgAAAAAAAAABACAAAAAlAQAAZHJzL2Uyb0RvYy54bWxQSwUGAAAAAAYABgBZAQAAsQUAAAAA&#10;">
                        <v:fill on="f" focussize="0,0"/>
                        <v:stroke color="#000000" joinstyle="round" endarrow="block"/>
                        <v:imagedata o:title=""/>
                        <o:lock v:ext="edit" aspectratio="f"/>
                      </v:shape>
                      <w10:wrap type="none"/>
                      <w10:anchorlock/>
                    </v:group>
                  </w:pict>
                </mc:Fallback>
              </mc:AlternateContent>
            </w:r>
          </w:p>
          <w:p w14:paraId="09174DF8">
            <w:pPr>
              <w:adjustRightInd w:val="0"/>
              <w:snapToGrid w:val="0"/>
              <w:spacing w:line="360" w:lineRule="auto"/>
              <w:ind w:right="40" w:firstLine="546" w:firstLineChars="245"/>
              <w:jc w:val="center"/>
              <w:rPr>
                <w:b/>
                <w:bCs/>
                <w:color w:val="auto"/>
                <w:spacing w:val="6"/>
                <w:szCs w:val="21"/>
                <w:highlight w:val="none"/>
              </w:rPr>
            </w:pPr>
            <w:r>
              <w:rPr>
                <w:b/>
                <w:bCs/>
                <w:color w:val="auto"/>
                <w:spacing w:val="6"/>
                <w:szCs w:val="21"/>
                <w:highlight w:val="none"/>
              </w:rPr>
              <w:t>图1 全厂水平衡图</w:t>
            </w:r>
            <w:r>
              <w:rPr>
                <w:b/>
                <w:color w:val="auto"/>
                <w:spacing w:val="-10"/>
                <w:szCs w:val="21"/>
                <w:highlight w:val="none"/>
              </w:rPr>
              <w:t>（单位：t/a）</w:t>
            </w:r>
          </w:p>
          <w:p w14:paraId="7179182C">
            <w:pPr>
              <w:adjustRightInd w:val="0"/>
              <w:snapToGrid w:val="0"/>
              <w:spacing w:line="360" w:lineRule="auto"/>
              <w:ind w:firstLine="482" w:firstLineChars="200"/>
              <w:rPr>
                <w:b/>
                <w:color w:val="auto"/>
                <w:sz w:val="24"/>
                <w:highlight w:val="none"/>
              </w:rPr>
            </w:pPr>
            <w:r>
              <w:rPr>
                <w:rFonts w:hint="eastAsia"/>
                <w:b/>
                <w:color w:val="auto"/>
                <w:sz w:val="24"/>
                <w:highlight w:val="none"/>
              </w:rPr>
              <w:t>7、</w:t>
            </w:r>
            <w:r>
              <w:rPr>
                <w:b/>
                <w:color w:val="auto"/>
                <w:sz w:val="24"/>
                <w:highlight w:val="none"/>
              </w:rPr>
              <w:t>项目能耗</w:t>
            </w:r>
          </w:p>
          <w:p w14:paraId="71081BFF">
            <w:pPr>
              <w:pStyle w:val="95"/>
              <w:spacing w:before="120"/>
              <w:rPr>
                <w:b/>
                <w:color w:val="auto"/>
                <w:kern w:val="2"/>
                <w:sz w:val="21"/>
                <w:highlight w:val="none"/>
              </w:rPr>
            </w:pPr>
            <w:r>
              <w:rPr>
                <w:b/>
                <w:color w:val="auto"/>
                <w:kern w:val="2"/>
                <w:sz w:val="21"/>
                <w:highlight w:val="none"/>
              </w:rPr>
              <w:t>主要能源以及资源消耗一览表</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942"/>
              <w:gridCol w:w="2942"/>
              <w:gridCol w:w="2945"/>
            </w:tblGrid>
            <w:tr w14:paraId="684AB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shd w:val="clear" w:color="auto" w:fill="auto"/>
                  <w:vAlign w:val="center"/>
                </w:tcPr>
                <w:p w14:paraId="2FB1B394">
                  <w:pPr>
                    <w:snapToGrid w:val="0"/>
                    <w:jc w:val="center"/>
                    <w:rPr>
                      <w:b/>
                      <w:bCs/>
                      <w:color w:val="auto"/>
                      <w:szCs w:val="21"/>
                      <w:highlight w:val="none"/>
                    </w:rPr>
                  </w:pPr>
                  <w:r>
                    <w:rPr>
                      <w:b/>
                      <w:bCs/>
                      <w:color w:val="auto"/>
                      <w:szCs w:val="21"/>
                      <w:highlight w:val="none"/>
                    </w:rPr>
                    <w:t>名称</w:t>
                  </w:r>
                </w:p>
              </w:tc>
              <w:tc>
                <w:tcPr>
                  <w:tcW w:w="1666" w:type="pct"/>
                  <w:shd w:val="clear" w:color="auto" w:fill="auto"/>
                  <w:vAlign w:val="center"/>
                </w:tcPr>
                <w:p w14:paraId="037FCE63">
                  <w:pPr>
                    <w:snapToGrid w:val="0"/>
                    <w:jc w:val="center"/>
                    <w:rPr>
                      <w:b/>
                      <w:bCs/>
                      <w:color w:val="auto"/>
                      <w:szCs w:val="21"/>
                      <w:highlight w:val="none"/>
                    </w:rPr>
                  </w:pPr>
                  <w:r>
                    <w:rPr>
                      <w:b/>
                      <w:bCs/>
                      <w:color w:val="auto"/>
                      <w:szCs w:val="21"/>
                      <w:highlight w:val="none"/>
                    </w:rPr>
                    <w:t>年用量</w:t>
                  </w:r>
                </w:p>
              </w:tc>
              <w:tc>
                <w:tcPr>
                  <w:tcW w:w="1667" w:type="pct"/>
                  <w:shd w:val="clear" w:color="auto" w:fill="auto"/>
                  <w:vAlign w:val="center"/>
                </w:tcPr>
                <w:p w14:paraId="2B831A3E">
                  <w:pPr>
                    <w:snapToGrid w:val="0"/>
                    <w:jc w:val="center"/>
                    <w:rPr>
                      <w:b/>
                      <w:bCs/>
                      <w:color w:val="auto"/>
                      <w:szCs w:val="21"/>
                      <w:highlight w:val="none"/>
                    </w:rPr>
                  </w:pPr>
                  <w:r>
                    <w:rPr>
                      <w:b/>
                      <w:bCs/>
                      <w:color w:val="auto"/>
                      <w:szCs w:val="21"/>
                      <w:highlight w:val="none"/>
                    </w:rPr>
                    <w:t>备注</w:t>
                  </w:r>
                </w:p>
              </w:tc>
            </w:tr>
            <w:tr w14:paraId="23FBE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666" w:type="pct"/>
                  <w:shd w:val="clear" w:color="auto" w:fill="auto"/>
                  <w:vAlign w:val="center"/>
                </w:tcPr>
                <w:p w14:paraId="68FC5A66">
                  <w:pPr>
                    <w:snapToGrid w:val="0"/>
                    <w:jc w:val="center"/>
                    <w:rPr>
                      <w:color w:val="auto"/>
                      <w:szCs w:val="21"/>
                      <w:highlight w:val="none"/>
                    </w:rPr>
                  </w:pPr>
                  <w:r>
                    <w:rPr>
                      <w:color w:val="auto"/>
                      <w:szCs w:val="21"/>
                      <w:highlight w:val="none"/>
                    </w:rPr>
                    <w:t>水</w:t>
                  </w:r>
                </w:p>
              </w:tc>
              <w:tc>
                <w:tcPr>
                  <w:tcW w:w="1666" w:type="pct"/>
                  <w:shd w:val="clear" w:color="auto" w:fill="auto"/>
                  <w:vAlign w:val="center"/>
                </w:tcPr>
                <w:p w14:paraId="6BF34ADA">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1698吨</w:t>
                  </w:r>
                </w:p>
              </w:tc>
              <w:tc>
                <w:tcPr>
                  <w:tcW w:w="1667" w:type="pct"/>
                  <w:shd w:val="clear" w:color="auto" w:fill="auto"/>
                  <w:vAlign w:val="center"/>
                </w:tcPr>
                <w:p w14:paraId="46EA4DEA">
                  <w:pPr>
                    <w:snapToGrid w:val="0"/>
                    <w:jc w:val="center"/>
                    <w:rPr>
                      <w:color w:val="auto"/>
                      <w:szCs w:val="21"/>
                      <w:highlight w:val="none"/>
                    </w:rPr>
                  </w:pPr>
                  <w:r>
                    <w:rPr>
                      <w:color w:val="auto"/>
                      <w:szCs w:val="21"/>
                      <w:highlight w:val="none"/>
                    </w:rPr>
                    <w:t>市政给水管网供水</w:t>
                  </w:r>
                </w:p>
              </w:tc>
            </w:tr>
            <w:tr w14:paraId="467DC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shd w:val="clear" w:color="auto" w:fill="auto"/>
                  <w:vAlign w:val="center"/>
                </w:tcPr>
                <w:p w14:paraId="52E3474D">
                  <w:pPr>
                    <w:snapToGrid w:val="0"/>
                    <w:jc w:val="center"/>
                    <w:rPr>
                      <w:color w:val="auto"/>
                      <w:szCs w:val="21"/>
                      <w:highlight w:val="none"/>
                    </w:rPr>
                  </w:pPr>
                  <w:r>
                    <w:rPr>
                      <w:color w:val="auto"/>
                      <w:szCs w:val="21"/>
                      <w:highlight w:val="none"/>
                    </w:rPr>
                    <w:t>电</w:t>
                  </w:r>
                </w:p>
              </w:tc>
              <w:tc>
                <w:tcPr>
                  <w:tcW w:w="1666" w:type="pct"/>
                  <w:shd w:val="clear" w:color="auto" w:fill="auto"/>
                  <w:vAlign w:val="center"/>
                </w:tcPr>
                <w:p w14:paraId="0E55B238">
                  <w:pPr>
                    <w:snapToGrid w:val="0"/>
                    <w:jc w:val="center"/>
                    <w:rPr>
                      <w:rFonts w:hint="eastAsia" w:eastAsia="宋体"/>
                      <w:color w:val="auto"/>
                      <w:szCs w:val="21"/>
                      <w:highlight w:val="none"/>
                      <w:lang w:eastAsia="zh-CN"/>
                    </w:rPr>
                  </w:pPr>
                  <w:r>
                    <w:rPr>
                      <w:rFonts w:hint="eastAsia"/>
                      <w:color w:val="auto"/>
                      <w:szCs w:val="21"/>
                      <w:highlight w:val="none"/>
                      <w:lang w:val="en-US" w:eastAsia="zh-CN"/>
                    </w:rPr>
                    <w:t>10</w:t>
                  </w:r>
                  <w:r>
                    <w:rPr>
                      <w:color w:val="auto"/>
                      <w:szCs w:val="21"/>
                      <w:highlight w:val="none"/>
                    </w:rPr>
                    <w:t>万</w:t>
                  </w:r>
                  <w:r>
                    <w:rPr>
                      <w:rFonts w:hint="eastAsia"/>
                      <w:color w:val="auto"/>
                      <w:szCs w:val="21"/>
                      <w:highlight w:val="none"/>
                      <w:lang w:eastAsia="zh-CN"/>
                    </w:rPr>
                    <w:t>度</w:t>
                  </w:r>
                </w:p>
              </w:tc>
              <w:tc>
                <w:tcPr>
                  <w:tcW w:w="1667" w:type="pct"/>
                  <w:shd w:val="clear" w:color="auto" w:fill="auto"/>
                  <w:vAlign w:val="center"/>
                </w:tcPr>
                <w:p w14:paraId="7F37610B">
                  <w:pPr>
                    <w:snapToGrid w:val="0"/>
                    <w:jc w:val="center"/>
                    <w:rPr>
                      <w:color w:val="auto"/>
                      <w:szCs w:val="21"/>
                      <w:highlight w:val="none"/>
                    </w:rPr>
                  </w:pPr>
                  <w:r>
                    <w:rPr>
                      <w:color w:val="auto"/>
                      <w:szCs w:val="21"/>
                      <w:highlight w:val="none"/>
                    </w:rPr>
                    <w:t>市政供电</w:t>
                  </w:r>
                </w:p>
              </w:tc>
            </w:tr>
          </w:tbl>
          <w:p w14:paraId="2AFB02BF">
            <w:pPr>
              <w:adjustRightInd w:val="0"/>
              <w:snapToGrid w:val="0"/>
              <w:spacing w:line="360" w:lineRule="auto"/>
              <w:ind w:firstLine="482" w:firstLineChars="200"/>
              <w:rPr>
                <w:rFonts w:hint="eastAsia"/>
                <w:b/>
                <w:color w:val="auto"/>
                <w:sz w:val="24"/>
                <w:highlight w:val="none"/>
              </w:rPr>
            </w:pPr>
            <w:r>
              <w:rPr>
                <w:rFonts w:hint="eastAsia"/>
                <w:b/>
                <w:color w:val="auto"/>
                <w:sz w:val="24"/>
                <w:highlight w:val="none"/>
              </w:rPr>
              <w:t>8、平面布局情况</w:t>
            </w:r>
          </w:p>
          <w:p w14:paraId="383BC694">
            <w:pPr>
              <w:spacing w:line="360" w:lineRule="auto"/>
              <w:ind w:firstLine="480" w:firstLineChars="200"/>
              <w:rPr>
                <w:rFonts w:hint="eastAsia"/>
                <w:color w:val="auto"/>
                <w:sz w:val="24"/>
                <w:highlight w:val="none"/>
              </w:rPr>
            </w:pPr>
            <w:r>
              <w:rPr>
                <w:rFonts w:hint="eastAsia"/>
                <w:color w:val="auto"/>
                <w:sz w:val="24"/>
                <w:highlight w:val="none"/>
                <w:lang w:val="en-US" w:eastAsia="zh-CN"/>
              </w:rPr>
              <w:t>项目排气筒建设</w:t>
            </w:r>
            <w:r>
              <w:rPr>
                <w:rFonts w:hint="eastAsia"/>
                <w:color w:val="auto"/>
                <w:sz w:val="24"/>
                <w:highlight w:val="none"/>
              </w:rPr>
              <w:t>位于厂房</w:t>
            </w:r>
            <w:r>
              <w:rPr>
                <w:rFonts w:hint="eastAsia"/>
                <w:color w:val="auto"/>
                <w:sz w:val="24"/>
                <w:highlight w:val="none"/>
                <w:lang w:val="en-US" w:eastAsia="zh-CN"/>
              </w:rPr>
              <w:t>东南</w:t>
            </w:r>
            <w:r>
              <w:rPr>
                <w:rFonts w:hint="eastAsia"/>
                <w:color w:val="auto"/>
                <w:sz w:val="24"/>
                <w:highlight w:val="none"/>
              </w:rPr>
              <w:t>区域，</w:t>
            </w:r>
            <w:r>
              <w:rPr>
                <w:rFonts w:hint="eastAsia"/>
                <w:color w:val="auto"/>
                <w:sz w:val="24"/>
                <w:highlight w:val="none"/>
                <w:lang w:val="en-US" w:eastAsia="zh-CN"/>
              </w:rPr>
              <w:t>远离西北侧居民点，</w:t>
            </w:r>
            <w:r>
              <w:rPr>
                <w:rFonts w:hint="eastAsia"/>
                <w:color w:val="auto"/>
                <w:sz w:val="24"/>
                <w:highlight w:val="none"/>
                <w:lang w:eastAsia="zh-CN"/>
              </w:rPr>
              <w:t>项目废气</w:t>
            </w:r>
            <w:r>
              <w:rPr>
                <w:rFonts w:hint="eastAsia"/>
                <w:color w:val="auto"/>
                <w:sz w:val="24"/>
                <w:highlight w:val="none"/>
                <w:lang w:val="en-US" w:eastAsia="zh-CN"/>
              </w:rPr>
              <w:t>设置集气罩收集废气，经二级活性炭吸附处理后由40m排气筒排放</w:t>
            </w:r>
            <w:r>
              <w:rPr>
                <w:rFonts w:hint="eastAsia"/>
                <w:color w:val="auto"/>
                <w:sz w:val="24"/>
                <w:highlight w:val="none"/>
              </w:rPr>
              <w:t>。排气筒出口烟气流速控制15m/s左右，项目废气车间密闭收集处理达标后经排气筒达标排放</w:t>
            </w:r>
            <w:r>
              <w:rPr>
                <w:rFonts w:hint="eastAsia"/>
                <w:color w:val="auto"/>
                <w:sz w:val="24"/>
                <w:highlight w:val="none"/>
                <w:lang w:eastAsia="zh-CN"/>
              </w:rPr>
              <w:t>。</w:t>
            </w:r>
            <w:r>
              <w:rPr>
                <w:rFonts w:hint="eastAsia"/>
                <w:color w:val="auto"/>
                <w:sz w:val="24"/>
                <w:highlight w:val="none"/>
              </w:rPr>
              <w:t>一般固废、危废仓均位于</w:t>
            </w:r>
            <w:r>
              <w:rPr>
                <w:rFonts w:hint="eastAsia"/>
                <w:color w:val="auto"/>
                <w:sz w:val="24"/>
                <w:highlight w:val="none"/>
                <w:lang w:val="en-US" w:eastAsia="zh-CN"/>
              </w:rPr>
              <w:t>东侧</w:t>
            </w:r>
            <w:r>
              <w:rPr>
                <w:rFonts w:hint="eastAsia"/>
                <w:color w:val="auto"/>
                <w:sz w:val="24"/>
                <w:highlight w:val="none"/>
              </w:rPr>
              <w:t>区域，</w:t>
            </w:r>
            <w:r>
              <w:rPr>
                <w:rFonts w:hint="eastAsia"/>
                <w:color w:val="auto"/>
                <w:sz w:val="24"/>
                <w:highlight w:val="none"/>
                <w:lang w:val="en-US" w:eastAsia="zh-CN"/>
              </w:rPr>
              <w:t>低噪声</w:t>
            </w:r>
            <w:r>
              <w:rPr>
                <w:rFonts w:hint="eastAsia"/>
                <w:color w:val="auto"/>
                <w:sz w:val="24"/>
                <w:highlight w:val="none"/>
                <w:lang w:eastAsia="zh-CN"/>
              </w:rPr>
              <w:t>生产设备设置在车间</w:t>
            </w:r>
            <w:r>
              <w:rPr>
                <w:rFonts w:hint="eastAsia"/>
                <w:color w:val="auto"/>
                <w:sz w:val="24"/>
                <w:highlight w:val="none"/>
                <w:lang w:val="en-US" w:eastAsia="zh-CN"/>
              </w:rPr>
              <w:t>西北侧</w:t>
            </w:r>
            <w:r>
              <w:rPr>
                <w:rFonts w:hint="eastAsia"/>
                <w:color w:val="auto"/>
                <w:sz w:val="24"/>
                <w:highlight w:val="none"/>
                <w:lang w:eastAsia="zh-CN"/>
              </w:rPr>
              <w:t>，</w:t>
            </w:r>
            <w:r>
              <w:rPr>
                <w:rFonts w:hint="eastAsia"/>
                <w:color w:val="auto"/>
                <w:sz w:val="24"/>
                <w:highlight w:val="none"/>
                <w:lang w:val="en-US" w:eastAsia="zh-CN"/>
              </w:rPr>
              <w:t>不会对西北侧30m居民公寓造成明显影响。</w:t>
            </w:r>
            <w:r>
              <w:rPr>
                <w:rFonts w:hint="eastAsia"/>
                <w:color w:val="auto"/>
                <w:sz w:val="24"/>
                <w:highlight w:val="none"/>
                <w:lang w:eastAsia="zh-CN"/>
              </w:rPr>
              <w:t>从总体上看，总平面</w:t>
            </w:r>
            <w:r>
              <w:rPr>
                <w:rFonts w:hint="eastAsia"/>
                <w:color w:val="auto"/>
                <w:sz w:val="24"/>
                <w:highlight w:val="none"/>
              </w:rPr>
              <w:t>布局相对合理。</w:t>
            </w:r>
          </w:p>
          <w:p w14:paraId="6B841C7B">
            <w:pPr>
              <w:adjustRightInd w:val="0"/>
              <w:snapToGrid w:val="0"/>
              <w:spacing w:line="360" w:lineRule="auto"/>
              <w:ind w:firstLine="482" w:firstLineChars="200"/>
              <w:rPr>
                <w:rFonts w:hint="eastAsia"/>
                <w:b/>
                <w:color w:val="auto"/>
                <w:sz w:val="24"/>
                <w:highlight w:val="none"/>
              </w:rPr>
            </w:pPr>
            <w:r>
              <w:rPr>
                <w:rFonts w:hint="eastAsia"/>
                <w:b/>
                <w:color w:val="auto"/>
                <w:sz w:val="24"/>
                <w:highlight w:val="none"/>
              </w:rPr>
              <w:t>9、四至情况</w:t>
            </w:r>
          </w:p>
          <w:p w14:paraId="42E6CA19">
            <w:pPr>
              <w:pStyle w:val="61"/>
              <w:adjustRightInd w:val="0"/>
              <w:snapToGrid w:val="0"/>
              <w:spacing w:before="0" w:beforeAutospacing="0" w:after="0" w:afterAutospacing="0" w:line="360" w:lineRule="auto"/>
              <w:ind w:firstLine="480" w:firstLineChars="200"/>
              <w:rPr>
                <w:rFonts w:hint="eastAsia" w:eastAsia="宋体"/>
                <w:color w:val="auto"/>
                <w:sz w:val="24"/>
                <w:highlight w:val="none"/>
                <w:lang w:eastAsia="zh-CN"/>
              </w:rPr>
            </w:pPr>
            <w:r>
              <w:rPr>
                <w:rFonts w:hint="eastAsia"/>
                <w:color w:val="auto"/>
                <w:sz w:val="24"/>
                <w:highlight w:val="none"/>
              </w:rPr>
              <w:t>项目</w:t>
            </w:r>
            <w:r>
              <w:rPr>
                <w:rFonts w:hint="eastAsia"/>
                <w:color w:val="auto"/>
                <w:sz w:val="24"/>
                <w:highlight w:val="none"/>
                <w:lang w:val="en-US" w:eastAsia="zh-CN"/>
              </w:rPr>
              <w:t>东北</w:t>
            </w:r>
            <w:r>
              <w:rPr>
                <w:rFonts w:hint="eastAsia"/>
                <w:color w:val="auto"/>
                <w:sz w:val="24"/>
                <w:highlight w:val="none"/>
                <w:lang w:eastAsia="zh-CN"/>
              </w:rPr>
              <w:t>面</w:t>
            </w:r>
            <w:r>
              <w:rPr>
                <w:rFonts w:hint="eastAsia"/>
                <w:color w:val="auto"/>
                <w:sz w:val="24"/>
                <w:highlight w:val="none"/>
                <w:lang w:val="en-US" w:eastAsia="zh-CN"/>
              </w:rPr>
              <w:t>为云泉电器</w:t>
            </w:r>
            <w:r>
              <w:rPr>
                <w:rFonts w:hint="eastAsia"/>
                <w:color w:val="auto"/>
                <w:sz w:val="24"/>
                <w:highlight w:val="none"/>
                <w:lang w:eastAsia="zh-CN"/>
              </w:rPr>
              <w:t>、</w:t>
            </w:r>
            <w:r>
              <w:rPr>
                <w:rFonts w:hint="eastAsia"/>
                <w:color w:val="auto"/>
                <w:sz w:val="24"/>
                <w:highlight w:val="none"/>
              </w:rPr>
              <w:t>东</w:t>
            </w:r>
            <w:r>
              <w:rPr>
                <w:rFonts w:hint="eastAsia"/>
                <w:color w:val="auto"/>
                <w:sz w:val="24"/>
                <w:highlight w:val="none"/>
                <w:lang w:val="en-US" w:eastAsia="zh-CN"/>
              </w:rPr>
              <w:t>南</w:t>
            </w:r>
            <w:r>
              <w:rPr>
                <w:rFonts w:hint="eastAsia"/>
                <w:color w:val="auto"/>
                <w:sz w:val="24"/>
                <w:highlight w:val="none"/>
              </w:rPr>
              <w:t>面</w:t>
            </w:r>
            <w:r>
              <w:rPr>
                <w:rFonts w:hint="eastAsia"/>
                <w:color w:val="auto"/>
                <w:sz w:val="24"/>
                <w:highlight w:val="none"/>
                <w:lang w:val="en-US" w:eastAsia="zh-CN"/>
              </w:rPr>
              <w:t>为中山市艾丰特电器科技有限公司</w:t>
            </w:r>
            <w:r>
              <w:rPr>
                <w:rFonts w:hint="eastAsia"/>
                <w:color w:val="auto"/>
                <w:sz w:val="24"/>
                <w:highlight w:val="none"/>
                <w:lang w:eastAsia="zh-CN"/>
              </w:rPr>
              <w:t>、</w:t>
            </w:r>
            <w:r>
              <w:rPr>
                <w:rFonts w:hint="eastAsia"/>
                <w:color w:val="auto"/>
                <w:sz w:val="24"/>
                <w:highlight w:val="none"/>
                <w:lang w:val="en-US" w:eastAsia="zh-CN"/>
              </w:rPr>
              <w:t>西南面为</w:t>
            </w:r>
            <w:r>
              <w:rPr>
                <w:rFonts w:hint="eastAsia" w:ascii="宋体" w:hAnsi="宋体" w:eastAsia="宋体"/>
                <w:color w:val="auto"/>
                <w:sz w:val="24"/>
                <w:highlight w:val="none"/>
                <w:lang w:eastAsia="zh-CN"/>
              </w:rPr>
              <w:t>宁辉塑料五金模具有限公司</w:t>
            </w:r>
            <w:r>
              <w:rPr>
                <w:rFonts w:hint="eastAsia"/>
                <w:color w:val="auto"/>
                <w:sz w:val="24"/>
                <w:highlight w:val="none"/>
                <w:lang w:eastAsia="zh-CN"/>
              </w:rPr>
              <w:t>、</w:t>
            </w:r>
            <w:r>
              <w:rPr>
                <w:rFonts w:hint="eastAsia"/>
                <w:color w:val="auto"/>
                <w:sz w:val="24"/>
                <w:highlight w:val="none"/>
              </w:rPr>
              <w:t>西</w:t>
            </w:r>
            <w:r>
              <w:rPr>
                <w:rFonts w:hint="eastAsia"/>
                <w:color w:val="auto"/>
                <w:sz w:val="24"/>
                <w:highlight w:val="none"/>
                <w:lang w:val="en-US" w:eastAsia="zh-CN"/>
              </w:rPr>
              <w:t>北</w:t>
            </w:r>
            <w:r>
              <w:rPr>
                <w:rFonts w:hint="eastAsia"/>
                <w:color w:val="auto"/>
                <w:sz w:val="24"/>
                <w:highlight w:val="none"/>
              </w:rPr>
              <w:t>面</w:t>
            </w:r>
            <w:r>
              <w:rPr>
                <w:rFonts w:hint="eastAsia"/>
                <w:color w:val="auto"/>
                <w:sz w:val="24"/>
                <w:highlight w:val="none"/>
                <w:lang w:val="en-US" w:eastAsia="zh-CN"/>
              </w:rPr>
              <w:t>为</w:t>
            </w:r>
            <w:r>
              <w:rPr>
                <w:rFonts w:hint="eastAsia"/>
                <w:color w:val="auto"/>
                <w:sz w:val="24"/>
                <w:highlight w:val="none"/>
                <w:lang w:eastAsia="zh-CN"/>
              </w:rPr>
              <w:t>居民公寓</w:t>
            </w:r>
            <w:r>
              <w:rPr>
                <w:rFonts w:hint="eastAsia" w:ascii="宋体" w:hAnsi="宋体" w:eastAsia="宋体" w:cs="Times New Roman"/>
                <w:color w:val="auto"/>
                <w:sz w:val="24"/>
                <w:highlight w:val="none"/>
                <w:lang w:val="en-US" w:eastAsia="zh-CN"/>
              </w:rPr>
              <w:t>和荣业包装制品有限公司。</w:t>
            </w:r>
          </w:p>
          <w:p w14:paraId="2F34A0AD">
            <w:pPr>
              <w:pStyle w:val="61"/>
              <w:adjustRightInd w:val="0"/>
              <w:snapToGrid w:val="0"/>
              <w:spacing w:before="0" w:beforeAutospacing="0" w:after="0" w:afterAutospacing="0" w:line="360" w:lineRule="auto"/>
              <w:rPr>
                <w:rFonts w:ascii="Times New Roman" w:hAnsi="Times New Roman"/>
                <w:b/>
                <w:bCs/>
                <w:color w:val="auto"/>
                <w:szCs w:val="24"/>
                <w:highlight w:val="none"/>
              </w:rPr>
            </w:pPr>
            <w:r>
              <w:rPr>
                <w:rFonts w:ascii="Times New Roman" w:hAnsi="Times New Roman"/>
                <w:b/>
                <w:bCs/>
                <w:color w:val="auto"/>
                <w:szCs w:val="24"/>
                <w:highlight w:val="none"/>
              </w:rPr>
              <w:t>工艺流程和产排污环节：</w:t>
            </w:r>
          </w:p>
          <w:p w14:paraId="48B0E91B">
            <w:pPr>
              <w:pStyle w:val="30"/>
              <w:rPr>
                <w:rFonts w:hint="eastAsia" w:eastAsia="黑体"/>
                <w:color w:val="auto"/>
                <w:highlight w:val="none"/>
                <w:lang w:eastAsia="zh-CN"/>
              </w:rPr>
            </w:pPr>
            <w:r>
              <w:drawing>
                <wp:inline distT="0" distB="0" distL="114300" distR="114300">
                  <wp:extent cx="5615305" cy="1192530"/>
                  <wp:effectExtent l="0" t="0" r="4445" b="762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10"/>
                          <a:stretch>
                            <a:fillRect/>
                          </a:stretch>
                        </pic:blipFill>
                        <pic:spPr>
                          <a:xfrm>
                            <a:off x="0" y="0"/>
                            <a:ext cx="5615305" cy="1192530"/>
                          </a:xfrm>
                          <a:prstGeom prst="rect">
                            <a:avLst/>
                          </a:prstGeom>
                          <a:noFill/>
                          <a:ln>
                            <a:noFill/>
                          </a:ln>
                        </pic:spPr>
                      </pic:pic>
                    </a:graphicData>
                  </a:graphic>
                </wp:inline>
              </w:drawing>
            </w:r>
          </w:p>
          <w:p w14:paraId="131D9313">
            <w:pPr>
              <w:spacing w:line="360" w:lineRule="auto"/>
              <w:rPr>
                <w:b/>
                <w:color w:val="auto"/>
                <w:sz w:val="24"/>
                <w:szCs w:val="28"/>
                <w:highlight w:val="none"/>
              </w:rPr>
            </w:pPr>
            <w:r>
              <w:rPr>
                <w:b/>
                <w:color w:val="auto"/>
                <w:sz w:val="24"/>
                <w:szCs w:val="28"/>
                <w:highlight w:val="none"/>
              </w:rPr>
              <w:t>工艺流程说明</w:t>
            </w:r>
            <w:r>
              <w:rPr>
                <w:rFonts w:hint="eastAsia"/>
                <w:b/>
                <w:color w:val="auto"/>
                <w:sz w:val="24"/>
                <w:szCs w:val="28"/>
                <w:highlight w:val="none"/>
                <w:lang w:eastAsia="zh-CN"/>
              </w:rPr>
              <w:t>：</w:t>
            </w:r>
          </w:p>
          <w:p w14:paraId="6D1B2056">
            <w:pPr>
              <w:pStyle w:val="26"/>
              <w:spacing w:line="360" w:lineRule="auto"/>
              <w:ind w:firstLine="480" w:firstLineChars="200"/>
              <w:rPr>
                <w:color w:val="auto"/>
                <w:sz w:val="24"/>
              </w:rPr>
            </w:pPr>
            <w:r>
              <w:rPr>
                <w:rFonts w:hint="eastAsia"/>
                <w:color w:val="auto"/>
                <w:sz w:val="24"/>
                <w:lang w:val="en-US" w:eastAsia="zh-CN"/>
              </w:rPr>
              <w:t>1、投料、</w:t>
            </w:r>
            <w:r>
              <w:rPr>
                <w:color w:val="auto"/>
                <w:sz w:val="24"/>
              </w:rPr>
              <w:t>混料：</w:t>
            </w:r>
            <w:r>
              <w:rPr>
                <w:rFonts w:hint="eastAsia"/>
                <w:color w:val="auto"/>
                <w:sz w:val="24"/>
              </w:rPr>
              <w:t>根据客户的要求，</w:t>
            </w:r>
            <w:r>
              <w:rPr>
                <w:color w:val="auto"/>
                <w:sz w:val="24"/>
              </w:rPr>
              <w:t>将</w:t>
            </w:r>
            <w:r>
              <w:rPr>
                <w:rFonts w:hint="eastAsia"/>
                <w:color w:val="auto"/>
                <w:sz w:val="24"/>
              </w:rPr>
              <w:t>不同类型的塑料粒与</w:t>
            </w:r>
            <w:r>
              <w:rPr>
                <w:color w:val="auto"/>
                <w:sz w:val="24"/>
              </w:rPr>
              <w:t>色粉按照一定比例投入</w:t>
            </w:r>
            <w:r>
              <w:rPr>
                <w:rFonts w:hint="eastAsia"/>
                <w:color w:val="auto"/>
                <w:sz w:val="24"/>
                <w:lang w:val="en-US" w:eastAsia="zh-CN"/>
              </w:rPr>
              <w:t>混料机</w:t>
            </w:r>
            <w:r>
              <w:rPr>
                <w:color w:val="auto"/>
                <w:sz w:val="24"/>
              </w:rPr>
              <w:t>进行混合，塑料粒</w:t>
            </w:r>
            <w:r>
              <w:rPr>
                <w:rFonts w:hint="eastAsia"/>
                <w:color w:val="auto"/>
                <w:sz w:val="24"/>
              </w:rPr>
              <w:t>、色母</w:t>
            </w:r>
            <w:r>
              <w:rPr>
                <w:color w:val="auto"/>
                <w:sz w:val="24"/>
              </w:rPr>
              <w:t>属于颗粒</w:t>
            </w:r>
            <w:r>
              <w:rPr>
                <w:rFonts w:hint="eastAsia"/>
                <w:color w:val="auto"/>
                <w:sz w:val="24"/>
              </w:rPr>
              <w:t>状</w:t>
            </w:r>
            <w:r>
              <w:rPr>
                <w:color w:val="auto"/>
                <w:sz w:val="24"/>
              </w:rPr>
              <w:t>，色粉为粉末状，</w:t>
            </w:r>
            <w:r>
              <w:rPr>
                <w:rFonts w:hint="eastAsia"/>
                <w:color w:val="auto"/>
                <w:sz w:val="24"/>
                <w:lang w:val="en-US" w:eastAsia="zh-CN"/>
              </w:rPr>
              <w:t>此过程产生</w:t>
            </w:r>
            <w:r>
              <w:rPr>
                <w:color w:val="auto"/>
                <w:sz w:val="24"/>
              </w:rPr>
              <w:t>粉尘，</w:t>
            </w:r>
            <w:r>
              <w:rPr>
                <w:rFonts w:hint="eastAsia"/>
                <w:color w:val="auto"/>
                <w:sz w:val="24"/>
              </w:rPr>
              <w:t>年工作时间</w:t>
            </w:r>
            <w:r>
              <w:rPr>
                <w:rFonts w:hint="eastAsia"/>
                <w:color w:val="auto"/>
                <w:sz w:val="24"/>
                <w:lang w:val="en-US" w:eastAsia="zh-CN"/>
              </w:rPr>
              <w:t>3</w:t>
            </w:r>
            <w:r>
              <w:rPr>
                <w:rFonts w:hint="eastAsia"/>
                <w:color w:val="auto"/>
                <w:sz w:val="24"/>
              </w:rPr>
              <w:t>00h</w:t>
            </w:r>
            <w:r>
              <w:rPr>
                <w:color w:val="auto"/>
                <w:sz w:val="24"/>
              </w:rPr>
              <w:t>；</w:t>
            </w:r>
          </w:p>
          <w:p w14:paraId="6873DC4A">
            <w:pPr>
              <w:pStyle w:val="26"/>
              <w:spacing w:line="360" w:lineRule="auto"/>
              <w:ind w:firstLine="480" w:firstLineChars="200"/>
              <w:rPr>
                <w:color w:val="auto"/>
                <w:sz w:val="24"/>
              </w:rPr>
            </w:pPr>
            <w:r>
              <w:rPr>
                <w:rFonts w:hint="eastAsia"/>
                <w:color w:val="auto"/>
                <w:sz w:val="24"/>
                <w:lang w:val="en-US" w:eastAsia="zh-CN"/>
              </w:rPr>
              <w:t>2、</w:t>
            </w:r>
            <w:r>
              <w:rPr>
                <w:rFonts w:hint="eastAsia"/>
                <w:color w:val="auto"/>
                <w:sz w:val="24"/>
                <w:highlight w:val="none"/>
                <w:lang w:eastAsia="zh-CN"/>
              </w:rPr>
              <w:t>烘料</w:t>
            </w:r>
            <w:r>
              <w:rPr>
                <w:color w:val="auto"/>
                <w:sz w:val="24"/>
                <w:highlight w:val="none"/>
              </w:rPr>
              <w:t>：</w:t>
            </w:r>
            <w:r>
              <w:rPr>
                <w:rFonts w:hint="eastAsia"/>
                <w:color w:val="auto"/>
                <w:sz w:val="24"/>
                <w:highlight w:val="none"/>
                <w:lang w:eastAsia="zh-CN"/>
              </w:rPr>
              <w:t>将混合好的塑料粒</w:t>
            </w:r>
            <w:r>
              <w:rPr>
                <w:rFonts w:hint="eastAsia"/>
                <w:color w:val="auto"/>
                <w:sz w:val="24"/>
                <w:highlight w:val="none"/>
                <w:lang w:val="en-US" w:eastAsia="zh-CN"/>
              </w:rPr>
              <w:t>由真空管道</w:t>
            </w:r>
            <w:r>
              <w:rPr>
                <w:rFonts w:hint="eastAsia"/>
                <w:color w:val="auto"/>
                <w:sz w:val="24"/>
                <w:highlight w:val="none"/>
                <w:lang w:eastAsia="zh-CN"/>
              </w:rPr>
              <w:t>抽入干燥机中，用电能进行烘干材料，烘干工作温度为</w:t>
            </w:r>
            <w:r>
              <w:rPr>
                <w:rFonts w:hint="eastAsia"/>
                <w:color w:val="auto"/>
                <w:sz w:val="24"/>
                <w:highlight w:val="none"/>
                <w:lang w:val="en-US" w:eastAsia="zh-CN"/>
              </w:rPr>
              <w:t>80℃，此过程产生有机废气</w:t>
            </w:r>
            <w:r>
              <w:rPr>
                <w:rFonts w:hint="eastAsia" w:ascii="Times New Roman" w:hAnsi="Times New Roman" w:eastAsia="宋体" w:cs="Times New Roman"/>
                <w:color w:val="auto"/>
                <w:sz w:val="24"/>
                <w:highlight w:val="none"/>
                <w:lang w:val="en-US" w:eastAsia="zh-CN"/>
              </w:rPr>
              <w:t>和臭气浓度</w:t>
            </w:r>
            <w:r>
              <w:rPr>
                <w:rFonts w:hint="eastAsia"/>
                <w:color w:val="auto"/>
                <w:sz w:val="24"/>
                <w:highlight w:val="none"/>
                <w:lang w:val="en-US" w:eastAsia="zh-CN"/>
              </w:rPr>
              <w:t>，年工作时间2400h。</w:t>
            </w:r>
          </w:p>
          <w:p w14:paraId="752F7BF8">
            <w:pPr>
              <w:pStyle w:val="10"/>
              <w:wordWrap w:val="0"/>
              <w:topLinePunct/>
              <w:spacing w:before="0" w:after="0" w:line="360" w:lineRule="auto"/>
              <w:ind w:right="0" w:firstLine="480" w:firstLineChars="200"/>
              <w:rPr>
                <w:color w:val="auto"/>
                <w:sz w:val="24"/>
              </w:rPr>
            </w:pPr>
            <w:r>
              <w:rPr>
                <w:rFonts w:hint="eastAsia"/>
                <w:color w:val="auto"/>
                <w:sz w:val="24"/>
                <w:szCs w:val="24"/>
                <w:lang w:val="en-US" w:eastAsia="zh-CN"/>
              </w:rPr>
              <w:t>3、</w:t>
            </w:r>
            <w:r>
              <w:rPr>
                <w:color w:val="auto"/>
                <w:sz w:val="24"/>
              </w:rPr>
              <w:t>注塑：</w:t>
            </w:r>
            <w:r>
              <w:rPr>
                <w:rFonts w:hint="eastAsia"/>
                <w:color w:val="auto"/>
                <w:sz w:val="24"/>
              </w:rPr>
              <w:t>用</w:t>
            </w:r>
            <w:r>
              <w:rPr>
                <w:color w:val="auto"/>
                <w:sz w:val="24"/>
              </w:rPr>
              <w:t>色粉</w:t>
            </w:r>
            <w:r>
              <w:rPr>
                <w:rFonts w:hint="eastAsia"/>
                <w:color w:val="auto"/>
                <w:sz w:val="24"/>
              </w:rPr>
              <w:t>、色母</w:t>
            </w:r>
            <w:r>
              <w:rPr>
                <w:color w:val="auto"/>
                <w:sz w:val="24"/>
              </w:rPr>
              <w:t>混合好的塑料粒</w:t>
            </w:r>
            <w:r>
              <w:rPr>
                <w:rFonts w:hint="eastAsia"/>
                <w:color w:val="auto"/>
                <w:sz w:val="24"/>
              </w:rPr>
              <w:t>投料进烘料注塑一体机</w:t>
            </w:r>
            <w:r>
              <w:rPr>
                <w:color w:val="auto"/>
                <w:sz w:val="24"/>
              </w:rPr>
              <w:t>中，塑料均匀地塑化</w:t>
            </w:r>
            <w:r>
              <w:rPr>
                <w:rFonts w:hint="eastAsia"/>
                <w:color w:val="auto"/>
                <w:sz w:val="24"/>
              </w:rPr>
              <w:t>（</w:t>
            </w:r>
            <w:r>
              <w:rPr>
                <w:color w:val="auto"/>
                <w:sz w:val="24"/>
              </w:rPr>
              <w:t>即熔融</w:t>
            </w:r>
            <w:r>
              <w:rPr>
                <w:rFonts w:hint="eastAsia"/>
                <w:color w:val="auto"/>
                <w:sz w:val="24"/>
              </w:rPr>
              <w:t>）</w:t>
            </w:r>
            <w:r>
              <w:rPr>
                <w:color w:val="auto"/>
                <w:sz w:val="24"/>
              </w:rPr>
              <w:t>，通过机头和不同形状的模具，使塑料挤出成连续的所需要的各种形状的塑料产品。</w:t>
            </w:r>
            <w:r>
              <w:rPr>
                <w:rFonts w:hint="eastAsia"/>
                <w:color w:val="auto"/>
                <w:sz w:val="24"/>
              </w:rPr>
              <w:t>本项目</w:t>
            </w:r>
            <w:r>
              <w:rPr>
                <w:rFonts w:hint="eastAsia"/>
                <w:color w:val="auto"/>
                <w:sz w:val="24"/>
                <w:lang w:val="en-US" w:eastAsia="zh-CN"/>
              </w:rPr>
              <w:t>PA</w:t>
            </w:r>
            <w:r>
              <w:rPr>
                <w:rFonts w:hint="eastAsia"/>
                <w:color w:val="auto"/>
                <w:sz w:val="24"/>
              </w:rPr>
              <w:t>塑料新粒注塑分解温度为</w:t>
            </w:r>
            <w:r>
              <w:rPr>
                <w:rFonts w:hint="eastAsia"/>
                <w:color w:val="auto"/>
                <w:sz w:val="24"/>
                <w:lang w:val="en-US" w:eastAsia="zh-CN"/>
              </w:rPr>
              <w:t>38</w:t>
            </w:r>
            <w:r>
              <w:rPr>
                <w:rFonts w:hint="eastAsia"/>
                <w:color w:val="auto"/>
                <w:sz w:val="24"/>
              </w:rPr>
              <w:t>0℃；P</w:t>
            </w:r>
            <w:r>
              <w:rPr>
                <w:rFonts w:hint="eastAsia"/>
                <w:color w:val="auto"/>
                <w:sz w:val="24"/>
                <w:lang w:val="en-US" w:eastAsia="zh-CN"/>
              </w:rPr>
              <w:t>C</w:t>
            </w:r>
            <w:r>
              <w:rPr>
                <w:rFonts w:hint="eastAsia"/>
                <w:color w:val="auto"/>
                <w:sz w:val="24"/>
              </w:rPr>
              <w:t>塑料新粒分解温度为</w:t>
            </w:r>
            <w:r>
              <w:rPr>
                <w:rFonts w:hint="eastAsia"/>
                <w:color w:val="auto"/>
                <w:sz w:val="24"/>
                <w:lang w:val="en-US" w:eastAsia="zh-CN"/>
              </w:rPr>
              <w:t>4</w:t>
            </w:r>
            <w:r>
              <w:rPr>
                <w:rFonts w:hint="eastAsia"/>
                <w:color w:val="auto"/>
                <w:sz w:val="24"/>
              </w:rPr>
              <w:t>00℃以上</w:t>
            </w:r>
            <w:r>
              <w:rPr>
                <w:rFonts w:hint="eastAsia"/>
                <w:color w:val="auto"/>
                <w:sz w:val="24"/>
                <w:highlight w:val="none"/>
                <w:lang w:val="en-US" w:eastAsia="zh-CN"/>
              </w:rPr>
              <w:t>，本项目注塑温度为200°C，未达到裂解温度，且产生量小，则本项目塑料新粒热分解产生的氨、酚类仅作定性分析。本项目注塑工序温度小于PC塑料粒原料的热分解温度，PC塑料粒在生产过程中仅产生极少量二氯甲烷。根据《合成树脂工业污染物排放标准》（GB31572-2015）及其2024年修改单表4注释a“二氯甲烷待国家污染物监测方法标准发布后实施”，目前二氯甲烷没有相关环境质量标准，因此不进行大气专项评价。</w:t>
            </w:r>
            <w:r>
              <w:rPr>
                <w:color w:val="auto"/>
                <w:sz w:val="24"/>
              </w:rPr>
              <w:t>注塑过程中会产生</w:t>
            </w:r>
            <w:r>
              <w:rPr>
                <w:rFonts w:hint="eastAsia"/>
                <w:color w:val="auto"/>
                <w:sz w:val="24"/>
              </w:rPr>
              <w:t>非甲烷总烃</w:t>
            </w:r>
            <w:r>
              <w:rPr>
                <w:color w:val="auto"/>
                <w:sz w:val="24"/>
              </w:rPr>
              <w:t>和臭气浓度，</w:t>
            </w:r>
            <w:r>
              <w:rPr>
                <w:rFonts w:hint="eastAsia"/>
                <w:color w:val="auto"/>
                <w:sz w:val="24"/>
              </w:rPr>
              <w:t>年</w:t>
            </w:r>
            <w:r>
              <w:rPr>
                <w:color w:val="auto"/>
                <w:sz w:val="24"/>
              </w:rPr>
              <w:t>工作时间为</w:t>
            </w:r>
            <w:r>
              <w:rPr>
                <w:rFonts w:hint="eastAsia"/>
                <w:color w:val="auto"/>
                <w:sz w:val="24"/>
                <w:lang w:val="en-US" w:eastAsia="zh-CN"/>
              </w:rPr>
              <w:t>24</w:t>
            </w:r>
            <w:r>
              <w:rPr>
                <w:rFonts w:hint="eastAsia"/>
                <w:color w:val="auto"/>
                <w:sz w:val="24"/>
              </w:rPr>
              <w:t>00</w:t>
            </w:r>
            <w:r>
              <w:rPr>
                <w:color w:val="auto"/>
                <w:sz w:val="24"/>
              </w:rPr>
              <w:t>h。</w:t>
            </w:r>
          </w:p>
          <w:p w14:paraId="6C8EB1AE">
            <w:pPr>
              <w:pStyle w:val="95"/>
              <w:spacing w:before="120"/>
              <w:rPr>
                <w:rFonts w:hint="default" w:ascii="Times New Roman" w:hAnsi="Times New Roman" w:cs="Times New Roman"/>
                <w:b/>
                <w:color w:val="000000"/>
                <w:kern w:val="2"/>
                <w:sz w:val="21"/>
                <w:highlight w:val="none"/>
              </w:rPr>
            </w:pPr>
            <w:r>
              <w:rPr>
                <w:rFonts w:hint="default" w:ascii="Times New Roman" w:hAnsi="Times New Roman" w:cs="Times New Roman"/>
                <w:b/>
                <w:color w:val="000000"/>
                <w:kern w:val="2"/>
                <w:sz w:val="21"/>
                <w:highlight w:val="none"/>
                <w:lang w:val="en-US" w:eastAsia="zh-CN"/>
              </w:rPr>
              <w:t>项目注塑温度</w:t>
            </w:r>
            <w:r>
              <w:rPr>
                <w:rFonts w:hint="default" w:ascii="Times New Roman" w:hAnsi="Times New Roman" w:cs="Times New Roman"/>
                <w:b/>
                <w:color w:val="000000"/>
                <w:kern w:val="2"/>
                <w:sz w:val="21"/>
                <w:highlight w:val="none"/>
              </w:rPr>
              <w:t>一览表</w:t>
            </w:r>
          </w:p>
          <w:tbl>
            <w:tblPr>
              <w:tblStyle w:val="19"/>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2340"/>
              <w:gridCol w:w="1761"/>
              <w:gridCol w:w="912"/>
              <w:gridCol w:w="2608"/>
            </w:tblGrid>
            <w:tr w14:paraId="68F4B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172" w:type="dxa"/>
                  <w:noWrap w:val="0"/>
                  <w:vAlign w:val="center"/>
                </w:tcPr>
                <w:p w14:paraId="325215AF">
                  <w:pPr>
                    <w:snapToGrid w:val="0"/>
                    <w:jc w:val="center"/>
                    <w:rPr>
                      <w:rFonts w:hint="default" w:ascii="Times New Roman" w:hAnsi="Times New Roman" w:eastAsia="宋体" w:cs="Times New Roman"/>
                      <w:b/>
                      <w:bCs/>
                      <w:color w:val="000000"/>
                      <w:szCs w:val="21"/>
                      <w:highlight w:val="none"/>
                      <w:lang w:eastAsia="zh-CN"/>
                    </w:rPr>
                  </w:pPr>
                  <w:r>
                    <w:rPr>
                      <w:rFonts w:hint="default" w:ascii="Times New Roman" w:hAnsi="Times New Roman" w:cs="Times New Roman"/>
                      <w:b/>
                      <w:bCs/>
                      <w:color w:val="000000"/>
                      <w:szCs w:val="21"/>
                      <w:highlight w:val="none"/>
                      <w:lang w:val="en-US" w:eastAsia="zh-CN"/>
                    </w:rPr>
                    <w:t>工艺</w:t>
                  </w:r>
                </w:p>
              </w:tc>
              <w:tc>
                <w:tcPr>
                  <w:tcW w:w="2341" w:type="dxa"/>
                  <w:noWrap w:val="0"/>
                  <w:vAlign w:val="center"/>
                </w:tcPr>
                <w:p w14:paraId="2E82355A">
                  <w:pPr>
                    <w:snapToGrid w:val="0"/>
                    <w:jc w:val="center"/>
                    <w:rPr>
                      <w:rFonts w:hint="default" w:ascii="Times New Roman" w:hAnsi="Times New Roman" w:eastAsia="宋体" w:cs="Times New Roman"/>
                      <w:b/>
                      <w:bCs/>
                      <w:color w:val="000000"/>
                      <w:szCs w:val="21"/>
                      <w:highlight w:val="none"/>
                      <w:lang w:val="en-US" w:eastAsia="zh-CN"/>
                    </w:rPr>
                  </w:pPr>
                  <w:r>
                    <w:rPr>
                      <w:rFonts w:hint="default" w:ascii="Times New Roman" w:hAnsi="Times New Roman" w:cs="Times New Roman"/>
                      <w:b/>
                      <w:bCs/>
                      <w:color w:val="000000"/>
                      <w:szCs w:val="21"/>
                      <w:highlight w:val="none"/>
                      <w:lang w:val="en-US" w:eastAsia="zh-CN"/>
                    </w:rPr>
                    <w:t>塑料原料种类</w:t>
                  </w:r>
                </w:p>
              </w:tc>
              <w:tc>
                <w:tcPr>
                  <w:tcW w:w="1761" w:type="dxa"/>
                  <w:noWrap w:val="0"/>
                  <w:vAlign w:val="center"/>
                </w:tcPr>
                <w:p w14:paraId="482DAE4E">
                  <w:pPr>
                    <w:snapToGrid w:val="0"/>
                    <w:jc w:val="center"/>
                    <w:rPr>
                      <w:rFonts w:hint="default" w:ascii="Times New Roman" w:hAnsi="Times New Roman" w:eastAsia="宋体" w:cs="Times New Roman"/>
                      <w:b/>
                      <w:bCs/>
                      <w:color w:val="000000"/>
                      <w:szCs w:val="21"/>
                      <w:highlight w:val="none"/>
                      <w:lang w:val="en-US" w:eastAsia="zh-CN"/>
                    </w:rPr>
                  </w:pPr>
                  <w:r>
                    <w:rPr>
                      <w:rFonts w:hint="default" w:ascii="Times New Roman" w:hAnsi="Times New Roman" w:cs="Times New Roman"/>
                      <w:b/>
                      <w:bCs/>
                      <w:color w:val="000000"/>
                      <w:szCs w:val="21"/>
                      <w:highlight w:val="none"/>
                      <w:lang w:val="en-US" w:eastAsia="zh-CN"/>
                    </w:rPr>
                    <w:t>热分解温度/℃</w:t>
                  </w:r>
                </w:p>
              </w:tc>
              <w:tc>
                <w:tcPr>
                  <w:tcW w:w="912" w:type="dxa"/>
                  <w:noWrap w:val="0"/>
                  <w:vAlign w:val="center"/>
                </w:tcPr>
                <w:p w14:paraId="41FA0692">
                  <w:pPr>
                    <w:snapToGrid w:val="0"/>
                    <w:jc w:val="center"/>
                    <w:rPr>
                      <w:rFonts w:hint="default" w:ascii="Times New Roman" w:hAnsi="Times New Roman" w:eastAsia="宋体" w:cs="Times New Roman"/>
                      <w:b/>
                      <w:bCs/>
                      <w:color w:val="000000"/>
                      <w:szCs w:val="21"/>
                      <w:highlight w:val="none"/>
                      <w:lang w:val="en-US" w:eastAsia="zh-CN"/>
                    </w:rPr>
                  </w:pPr>
                  <w:r>
                    <w:rPr>
                      <w:rFonts w:hint="default" w:ascii="Times New Roman" w:hAnsi="Times New Roman" w:cs="Times New Roman"/>
                      <w:b/>
                      <w:bCs/>
                      <w:color w:val="000000"/>
                      <w:szCs w:val="21"/>
                      <w:highlight w:val="none"/>
                      <w:lang w:val="en-US" w:eastAsia="zh-CN"/>
                    </w:rPr>
                    <w:t>工作温度/℃</w:t>
                  </w:r>
                </w:p>
              </w:tc>
              <w:tc>
                <w:tcPr>
                  <w:tcW w:w="2609" w:type="dxa"/>
                  <w:noWrap w:val="0"/>
                  <w:vAlign w:val="center"/>
                </w:tcPr>
                <w:p w14:paraId="1B416EEB">
                  <w:pPr>
                    <w:snapToGrid w:val="0"/>
                    <w:jc w:val="center"/>
                    <w:rPr>
                      <w:rFonts w:hint="default" w:ascii="Times New Roman" w:hAnsi="Times New Roman" w:eastAsia="宋体" w:cs="Times New Roman"/>
                      <w:b/>
                      <w:bCs/>
                      <w:color w:val="000000"/>
                      <w:szCs w:val="21"/>
                      <w:highlight w:val="none"/>
                      <w:lang w:val="en-US" w:eastAsia="zh-CN"/>
                    </w:rPr>
                  </w:pPr>
                  <w:r>
                    <w:rPr>
                      <w:rFonts w:hint="default" w:ascii="Times New Roman" w:hAnsi="Times New Roman" w:cs="Times New Roman"/>
                      <w:b/>
                      <w:bCs/>
                      <w:color w:val="000000"/>
                      <w:szCs w:val="21"/>
                      <w:highlight w:val="none"/>
                      <w:lang w:val="en-US" w:eastAsia="zh-CN"/>
                    </w:rPr>
                    <w:t>备注</w:t>
                  </w:r>
                </w:p>
              </w:tc>
            </w:tr>
            <w:tr w14:paraId="7951B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2" w:type="dxa"/>
                  <w:vMerge w:val="restart"/>
                  <w:noWrap w:val="0"/>
                  <w:vAlign w:val="center"/>
                </w:tcPr>
                <w:p w14:paraId="519B8F0B">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lang w:val="en-US" w:eastAsia="zh-CN"/>
                    </w:rPr>
                    <w:t>注塑</w:t>
                  </w:r>
                </w:p>
              </w:tc>
              <w:tc>
                <w:tcPr>
                  <w:tcW w:w="2341" w:type="dxa"/>
                  <w:noWrap w:val="0"/>
                  <w:vAlign w:val="center"/>
                </w:tcPr>
                <w:p w14:paraId="5900766B">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Cs w:val="21"/>
                      <w:highlight w:val="none"/>
                      <w:lang w:val="en-US" w:eastAsia="zh-CN"/>
                    </w:rPr>
                    <w:t>P</w:t>
                  </w:r>
                  <w:r>
                    <w:rPr>
                      <w:rFonts w:hint="eastAsia" w:ascii="Times New Roman" w:hAnsi="Times New Roman" w:cs="Times New Roman"/>
                      <w:color w:val="000000"/>
                      <w:szCs w:val="21"/>
                      <w:highlight w:val="none"/>
                      <w:lang w:val="en-US" w:eastAsia="zh-CN"/>
                    </w:rPr>
                    <w:t>A</w:t>
                  </w:r>
                  <w:r>
                    <w:rPr>
                      <w:rFonts w:hint="default" w:ascii="Times New Roman" w:hAnsi="Times New Roman" w:eastAsia="宋体" w:cs="Times New Roman"/>
                      <w:color w:val="000000"/>
                      <w:szCs w:val="21"/>
                      <w:highlight w:val="none"/>
                      <w:lang w:val="en-US" w:eastAsia="zh-CN"/>
                    </w:rPr>
                    <w:t>塑料新粒</w:t>
                  </w:r>
                </w:p>
              </w:tc>
              <w:tc>
                <w:tcPr>
                  <w:tcW w:w="1761" w:type="dxa"/>
                  <w:noWrap w:val="0"/>
                  <w:vAlign w:val="center"/>
                </w:tcPr>
                <w:p w14:paraId="3986C72D">
                  <w:pPr>
                    <w:snapToGrid w:val="0"/>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Cs w:val="21"/>
                      <w:highlight w:val="none"/>
                      <w:lang w:val="en-US" w:eastAsia="zh-CN"/>
                    </w:rPr>
                    <w:t>3</w:t>
                  </w:r>
                  <w:r>
                    <w:rPr>
                      <w:rFonts w:hint="eastAsia" w:ascii="Times New Roman" w:hAnsi="Times New Roman" w:cs="Times New Roman"/>
                      <w:color w:val="000000"/>
                      <w:szCs w:val="21"/>
                      <w:highlight w:val="none"/>
                      <w:lang w:val="en-US" w:eastAsia="zh-CN"/>
                    </w:rPr>
                    <w:t>8</w:t>
                  </w:r>
                  <w:r>
                    <w:rPr>
                      <w:rFonts w:hint="default" w:ascii="Times New Roman" w:hAnsi="Times New Roman" w:cs="Times New Roman"/>
                      <w:color w:val="000000"/>
                      <w:szCs w:val="21"/>
                      <w:highlight w:val="none"/>
                      <w:lang w:val="en-US" w:eastAsia="zh-CN"/>
                    </w:rPr>
                    <w:t>0</w:t>
                  </w:r>
                </w:p>
              </w:tc>
              <w:tc>
                <w:tcPr>
                  <w:tcW w:w="912" w:type="dxa"/>
                  <w:vMerge w:val="restart"/>
                  <w:noWrap w:val="0"/>
                  <w:vAlign w:val="center"/>
                </w:tcPr>
                <w:p w14:paraId="7A1DA683">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szCs w:val="21"/>
                      <w:highlight w:val="none"/>
                      <w:lang w:val="en-US" w:eastAsia="zh-CN"/>
                    </w:rPr>
                    <w:t>2</w:t>
                  </w:r>
                  <w:r>
                    <w:rPr>
                      <w:rFonts w:hint="eastAsia" w:ascii="Times New Roman" w:hAnsi="Times New Roman" w:cs="Times New Roman"/>
                      <w:color w:val="000000"/>
                      <w:szCs w:val="21"/>
                      <w:highlight w:val="none"/>
                      <w:lang w:val="en-US" w:eastAsia="zh-CN"/>
                    </w:rPr>
                    <w:t>00</w:t>
                  </w:r>
                </w:p>
              </w:tc>
              <w:tc>
                <w:tcPr>
                  <w:tcW w:w="2609" w:type="dxa"/>
                  <w:vMerge w:val="restart"/>
                  <w:noWrap w:val="0"/>
                  <w:vAlign w:val="center"/>
                </w:tcPr>
                <w:p w14:paraId="0FC29877">
                  <w:pPr>
                    <w:snapToGrid w:val="0"/>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注塑温度小于物料的热分解温度，</w:t>
                  </w:r>
                  <w:r>
                    <w:rPr>
                      <w:rFonts w:hint="default" w:ascii="Times New Roman" w:hAnsi="Times New Roman" w:cs="Times New Roman"/>
                      <w:color w:val="000000"/>
                      <w:szCs w:val="21"/>
                      <w:highlight w:val="none"/>
                      <w:lang w:val="en-US" w:eastAsia="zh-CN"/>
                    </w:rPr>
                    <w:t>仅对酚类、</w:t>
                  </w:r>
                  <w:r>
                    <w:rPr>
                      <w:rFonts w:hint="eastAsia" w:ascii="Times New Roman" w:hAnsi="Times New Roman" w:cs="Times New Roman"/>
                      <w:color w:val="000000"/>
                      <w:szCs w:val="21"/>
                      <w:highlight w:val="none"/>
                      <w:lang w:val="en-US" w:eastAsia="zh-CN"/>
                    </w:rPr>
                    <w:t>氨</w:t>
                  </w:r>
                  <w:r>
                    <w:rPr>
                      <w:rFonts w:hint="default" w:ascii="Times New Roman" w:hAnsi="Times New Roman" w:cs="Times New Roman"/>
                      <w:color w:val="000000"/>
                      <w:szCs w:val="21"/>
                      <w:highlight w:val="none"/>
                      <w:lang w:val="en-US" w:eastAsia="zh-CN"/>
                    </w:rPr>
                    <w:t>、二氯甲烷进行定性分析</w:t>
                  </w:r>
                  <w:r>
                    <w:rPr>
                      <w:rFonts w:hint="default" w:ascii="Times New Roman" w:hAnsi="Times New Roman" w:cs="Times New Roman"/>
                      <w:color w:val="000000"/>
                      <w:szCs w:val="21"/>
                      <w:highlight w:val="none"/>
                    </w:rPr>
                    <w:t>。</w:t>
                  </w:r>
                </w:p>
              </w:tc>
            </w:tr>
            <w:tr w14:paraId="4DE7C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2" w:type="dxa"/>
                  <w:vMerge w:val="continue"/>
                  <w:noWrap w:val="0"/>
                  <w:vAlign w:val="center"/>
                </w:tcPr>
                <w:p w14:paraId="6A98E3E3">
                  <w:pPr>
                    <w:snapToGrid w:val="0"/>
                    <w:jc w:val="center"/>
                    <w:rPr>
                      <w:rFonts w:hint="default" w:ascii="Times New Roman" w:hAnsi="Times New Roman" w:cs="Times New Roman"/>
                      <w:color w:val="000000"/>
                      <w:szCs w:val="21"/>
                      <w:highlight w:val="none"/>
                      <w:lang w:val="en-US" w:eastAsia="zh-CN"/>
                    </w:rPr>
                  </w:pPr>
                </w:p>
              </w:tc>
              <w:tc>
                <w:tcPr>
                  <w:tcW w:w="2341" w:type="dxa"/>
                  <w:noWrap w:val="0"/>
                  <w:vAlign w:val="center"/>
                </w:tcPr>
                <w:p w14:paraId="5660CA0F">
                  <w:pPr>
                    <w:snapToGrid w:val="0"/>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PC塑料新粒</w:t>
                  </w:r>
                </w:p>
              </w:tc>
              <w:tc>
                <w:tcPr>
                  <w:tcW w:w="1761" w:type="dxa"/>
                  <w:noWrap w:val="0"/>
                  <w:vAlign w:val="center"/>
                </w:tcPr>
                <w:p w14:paraId="1EE4F13C">
                  <w:pPr>
                    <w:snapToGrid w:val="0"/>
                    <w:jc w:val="center"/>
                    <w:rPr>
                      <w:rFonts w:hint="default" w:ascii="Times New Roman" w:hAnsi="Times New Roman" w:cs="Times New Roman"/>
                      <w:color w:val="000000"/>
                      <w:szCs w:val="21"/>
                      <w:highlight w:val="none"/>
                      <w:lang w:val="en-US" w:eastAsia="zh-CN"/>
                    </w:rPr>
                  </w:pPr>
                  <w:r>
                    <w:rPr>
                      <w:rFonts w:hint="default" w:ascii="Times New Roman" w:hAnsi="Times New Roman" w:cs="Times New Roman"/>
                      <w:color w:val="000000"/>
                      <w:szCs w:val="21"/>
                      <w:highlight w:val="none"/>
                      <w:lang w:val="en-US" w:eastAsia="zh-CN"/>
                    </w:rPr>
                    <w:t>400</w:t>
                  </w:r>
                </w:p>
              </w:tc>
              <w:tc>
                <w:tcPr>
                  <w:tcW w:w="912" w:type="dxa"/>
                  <w:vMerge w:val="continue"/>
                  <w:noWrap w:val="0"/>
                  <w:vAlign w:val="center"/>
                </w:tcPr>
                <w:p w14:paraId="3D87F128">
                  <w:pPr>
                    <w:snapToGrid w:val="0"/>
                    <w:jc w:val="center"/>
                    <w:rPr>
                      <w:rFonts w:hint="default" w:ascii="Times New Roman" w:hAnsi="Times New Roman" w:cs="Times New Roman"/>
                      <w:color w:val="000000"/>
                      <w:szCs w:val="21"/>
                      <w:highlight w:val="none"/>
                      <w:lang w:val="en-US" w:eastAsia="zh-CN"/>
                    </w:rPr>
                  </w:pPr>
                </w:p>
              </w:tc>
              <w:tc>
                <w:tcPr>
                  <w:tcW w:w="2609" w:type="dxa"/>
                  <w:vMerge w:val="continue"/>
                  <w:noWrap w:val="0"/>
                  <w:vAlign w:val="center"/>
                </w:tcPr>
                <w:p w14:paraId="293639D6">
                  <w:pPr>
                    <w:snapToGrid w:val="0"/>
                    <w:jc w:val="center"/>
                    <w:rPr>
                      <w:rFonts w:hint="default" w:ascii="Times New Roman" w:hAnsi="Times New Roman" w:cs="Times New Roman"/>
                      <w:color w:val="000000"/>
                      <w:szCs w:val="21"/>
                      <w:highlight w:val="none"/>
                    </w:rPr>
                  </w:pPr>
                </w:p>
              </w:tc>
            </w:tr>
          </w:tbl>
          <w:p w14:paraId="4B58DB09">
            <w:pPr>
              <w:pStyle w:val="11"/>
              <w:rPr>
                <w:rFonts w:hint="eastAsia"/>
              </w:rPr>
            </w:pPr>
          </w:p>
          <w:p w14:paraId="1CD4B83C">
            <w:pPr>
              <w:pStyle w:val="26"/>
              <w:spacing w:line="360" w:lineRule="auto"/>
              <w:ind w:firstLine="480" w:firstLineChars="200"/>
              <w:rPr>
                <w:rFonts w:hint="eastAsia" w:eastAsia="宋体"/>
                <w:color w:val="auto"/>
                <w:sz w:val="24"/>
              </w:rPr>
            </w:pPr>
            <w:r>
              <w:rPr>
                <w:rFonts w:hint="eastAsia"/>
                <w:color w:val="auto"/>
                <w:sz w:val="24"/>
                <w:lang w:val="en-US" w:eastAsia="zh-CN"/>
              </w:rPr>
              <w:t>4、</w:t>
            </w:r>
            <w:r>
              <w:rPr>
                <w:color w:val="auto"/>
                <w:sz w:val="24"/>
              </w:rPr>
              <w:t>破碎</w:t>
            </w:r>
            <w:r>
              <w:rPr>
                <w:rFonts w:hint="eastAsia"/>
                <w:color w:val="auto"/>
                <w:lang w:eastAsia="zh-CN"/>
              </w:rPr>
              <w:t>：</w:t>
            </w:r>
            <w:r>
              <w:rPr>
                <w:rFonts w:hint="eastAsia"/>
                <w:color w:val="auto"/>
                <w:sz w:val="24"/>
              </w:rPr>
              <w:t>产生的边角料经破碎机破碎后回用于注塑工序。</w:t>
            </w:r>
            <w:r>
              <w:rPr>
                <w:color w:val="auto"/>
                <w:sz w:val="24"/>
              </w:rPr>
              <w:t>破碎后作为原辅材料回用于生产过程中，</w:t>
            </w:r>
            <w:r>
              <w:rPr>
                <w:rFonts w:hint="eastAsia"/>
                <w:color w:val="auto"/>
                <w:sz w:val="24"/>
              </w:rPr>
              <w:t>破碎过程为密闭且</w:t>
            </w:r>
            <w:r>
              <w:rPr>
                <w:color w:val="auto"/>
                <w:sz w:val="24"/>
              </w:rPr>
              <w:t>破碎的粒径较大，</w:t>
            </w:r>
            <w:r>
              <w:rPr>
                <w:rFonts w:hint="eastAsia" w:ascii="Times New Roman" w:hAnsi="Times New Roman" w:eastAsia="宋体" w:cs="Times New Roman"/>
                <w:color w:val="auto"/>
                <w:sz w:val="24"/>
                <w:lang w:val="en-US" w:eastAsia="zh-CN"/>
              </w:rPr>
              <w:t>且破碎后静置一段时间后才打开设</w:t>
            </w:r>
            <w:r>
              <w:rPr>
                <w:rFonts w:hint="eastAsia" w:eastAsia="宋体"/>
                <w:color w:val="auto"/>
                <w:sz w:val="24"/>
                <w:lang w:val="en-US" w:eastAsia="zh-CN"/>
              </w:rPr>
              <w:t>备。</w:t>
            </w:r>
            <w:r>
              <w:rPr>
                <w:rFonts w:hint="eastAsia" w:eastAsia="宋体"/>
                <w:color w:val="auto"/>
                <w:sz w:val="24"/>
              </w:rPr>
              <w:t>因此该过程无粉尘产生</w:t>
            </w:r>
            <w:r>
              <w:rPr>
                <w:rFonts w:hint="eastAsia" w:eastAsia="宋体"/>
                <w:color w:val="auto"/>
                <w:sz w:val="24"/>
                <w:lang w:eastAsia="zh-CN"/>
              </w:rPr>
              <w:t>，</w:t>
            </w:r>
            <w:r>
              <w:rPr>
                <w:rFonts w:hint="eastAsia" w:eastAsia="宋体"/>
                <w:color w:val="auto"/>
                <w:sz w:val="24"/>
              </w:rPr>
              <w:t>年工作时间</w:t>
            </w:r>
            <w:r>
              <w:rPr>
                <w:rFonts w:hint="eastAsia" w:eastAsia="宋体"/>
                <w:color w:val="auto"/>
                <w:sz w:val="24"/>
                <w:lang w:val="en-US" w:eastAsia="zh-CN"/>
              </w:rPr>
              <w:t>6</w:t>
            </w:r>
            <w:r>
              <w:rPr>
                <w:rFonts w:hint="eastAsia" w:eastAsia="宋体"/>
                <w:color w:val="auto"/>
                <w:sz w:val="24"/>
              </w:rPr>
              <w:t>00h。</w:t>
            </w:r>
          </w:p>
          <w:p w14:paraId="212D3C61">
            <w:pPr>
              <w:pStyle w:val="26"/>
              <w:spacing w:line="360" w:lineRule="auto"/>
              <w:ind w:firstLine="480" w:firstLineChars="200"/>
              <w:rPr>
                <w:rFonts w:hint="eastAsia" w:eastAsia="宋体"/>
                <w:color w:val="auto"/>
                <w:sz w:val="24"/>
                <w:lang w:val="en-US" w:eastAsia="zh-CN"/>
              </w:rPr>
            </w:pPr>
            <w:r>
              <w:rPr>
                <w:rFonts w:hint="eastAsia" w:eastAsia="宋体"/>
                <w:color w:val="auto"/>
                <w:sz w:val="24"/>
                <w:lang w:val="en-US" w:eastAsia="zh-CN"/>
              </w:rPr>
              <w:t>5、点胶、烘干：本项目产品在</w:t>
            </w:r>
            <w:r>
              <w:rPr>
                <w:rFonts w:hint="eastAsia"/>
                <w:color w:val="auto"/>
                <w:sz w:val="24"/>
                <w:lang w:val="en-US" w:eastAsia="zh-CN"/>
              </w:rPr>
              <w:t>生产</w:t>
            </w:r>
            <w:r>
              <w:rPr>
                <w:rFonts w:hint="eastAsia" w:eastAsia="宋体"/>
                <w:color w:val="auto"/>
                <w:sz w:val="24"/>
                <w:lang w:val="en-US" w:eastAsia="zh-CN"/>
              </w:rPr>
              <w:t>过程中需要使用胶水进行点胶，然后使用烘干箱进行烘干，此过程产生有机废气和臭气浓度，年工作时间2400h。</w:t>
            </w:r>
          </w:p>
          <w:p w14:paraId="46FE7623">
            <w:pPr>
              <w:pStyle w:val="26"/>
              <w:spacing w:line="360" w:lineRule="auto"/>
              <w:ind w:firstLine="480" w:firstLineChars="200"/>
              <w:rPr>
                <w:rFonts w:hint="default" w:eastAsia="宋体"/>
                <w:color w:val="auto"/>
                <w:sz w:val="24"/>
                <w:lang w:val="en-US" w:eastAsia="zh-CN"/>
              </w:rPr>
            </w:pPr>
            <w:r>
              <w:rPr>
                <w:rFonts w:hint="eastAsia" w:eastAsia="宋体"/>
                <w:color w:val="auto"/>
                <w:sz w:val="24"/>
                <w:lang w:val="en-US" w:eastAsia="zh-CN"/>
              </w:rPr>
              <w:t>6、组装：本项目人工对配件进行组装处理，此过程不产生废气，年工作时间600h。</w:t>
            </w:r>
          </w:p>
          <w:p w14:paraId="0419DB30">
            <w:pPr>
              <w:pStyle w:val="26"/>
              <w:spacing w:line="360" w:lineRule="auto"/>
              <w:ind w:firstLine="480" w:firstLineChars="200"/>
              <w:rPr>
                <w:rFonts w:hint="default" w:eastAsia="宋体"/>
                <w:color w:val="auto"/>
                <w:sz w:val="24"/>
                <w:lang w:val="en-US" w:eastAsia="zh-CN"/>
              </w:rPr>
            </w:pPr>
            <w:r>
              <w:rPr>
                <w:rFonts w:hint="eastAsia"/>
                <w:color w:val="auto"/>
                <w:sz w:val="24"/>
                <w:lang w:val="en-US" w:eastAsia="zh-CN"/>
              </w:rPr>
              <w:t>7、模具维修：本项目模具维修外发处理，因此不会产生废气。</w:t>
            </w:r>
          </w:p>
          <w:p w14:paraId="138E1B54">
            <w:pPr>
              <w:keepNext w:val="0"/>
              <w:keepLines w:val="0"/>
              <w:pageBreakBefore w:val="0"/>
              <w:widowControl w:val="0"/>
              <w:kinsoku/>
              <w:wordWrap/>
              <w:overflowPunct/>
              <w:topLinePunct w:val="0"/>
              <w:autoSpaceDE/>
              <w:autoSpaceDN/>
              <w:bidi w:val="0"/>
              <w:adjustRightInd/>
              <w:snapToGrid/>
              <w:spacing w:line="360" w:lineRule="auto"/>
              <w:jc w:val="left"/>
              <w:textAlignment w:val="auto"/>
              <w:rPr>
                <w:color w:val="auto"/>
                <w:sz w:val="18"/>
                <w:szCs w:val="18"/>
                <w:highlight w:val="none"/>
              </w:rPr>
            </w:pPr>
            <w:r>
              <w:rPr>
                <w:color w:val="auto"/>
                <w:sz w:val="18"/>
                <w:szCs w:val="18"/>
                <w:highlight w:val="none"/>
              </w:rPr>
              <w:t>注：①本项目所用设备和工艺均不在《产业结构调整指导目录（2019年本）》的淘汰和限制类中。</w:t>
            </w:r>
          </w:p>
          <w:p w14:paraId="15A7FC7D">
            <w:pPr>
              <w:spacing w:line="360" w:lineRule="auto"/>
              <w:ind w:firstLine="360" w:firstLineChars="200"/>
              <w:rPr>
                <w:bCs/>
                <w:color w:val="auto"/>
                <w:szCs w:val="21"/>
                <w:highlight w:val="none"/>
              </w:rPr>
            </w:pPr>
            <w:r>
              <w:rPr>
                <w:rFonts w:hint="eastAsia"/>
                <w:color w:val="auto"/>
                <w:sz w:val="18"/>
                <w:szCs w:val="18"/>
                <w:highlight w:val="none"/>
                <w:lang w:val="en-US" w:eastAsia="zh-CN"/>
              </w:rPr>
              <w:t xml:space="preserve">②本项目使用的生产设备均有噪声产生。 </w:t>
            </w:r>
          </w:p>
        </w:tc>
      </w:tr>
      <w:tr w14:paraId="652EEB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816" w:hRule="atLeast"/>
          <w:jc w:val="center"/>
        </w:trPr>
        <w:tc>
          <w:tcPr>
            <w:tcW w:w="9060" w:type="dxa"/>
            <w:shd w:val="clear" w:color="auto" w:fill="auto"/>
          </w:tcPr>
          <w:p w14:paraId="1EAA53B7">
            <w:pPr>
              <w:pStyle w:val="61"/>
              <w:adjustRightInd w:val="0"/>
              <w:snapToGrid w:val="0"/>
              <w:spacing w:before="0" w:beforeAutospacing="0" w:after="0" w:afterAutospacing="0" w:line="360" w:lineRule="auto"/>
              <w:rPr>
                <w:rFonts w:ascii="Times New Roman" w:hAnsi="Times New Roman"/>
                <w:b/>
                <w:bCs/>
                <w:color w:val="auto"/>
                <w:szCs w:val="24"/>
                <w:highlight w:val="none"/>
              </w:rPr>
            </w:pPr>
            <w:r>
              <w:rPr>
                <w:rFonts w:ascii="Times New Roman" w:hAnsi="Times New Roman"/>
                <w:b/>
                <w:bCs/>
                <w:color w:val="auto"/>
                <w:szCs w:val="24"/>
                <w:highlight w:val="none"/>
              </w:rPr>
              <w:t>与项目有关的原有环境污染问题：</w:t>
            </w:r>
          </w:p>
          <w:p w14:paraId="5F5582A2">
            <w:pPr>
              <w:adjustRightInd w:val="0"/>
              <w:snapToGrid w:val="0"/>
              <w:spacing w:line="360" w:lineRule="auto"/>
              <w:ind w:firstLine="480" w:firstLineChars="200"/>
              <w:rPr>
                <w:rFonts w:hint="eastAsia"/>
                <w:color w:val="auto"/>
                <w:highlight w:val="none"/>
              </w:rPr>
            </w:pPr>
            <w:r>
              <w:rPr>
                <w:rFonts w:hint="eastAsia"/>
                <w:color w:val="auto"/>
                <w:sz w:val="24"/>
                <w:highlight w:val="none"/>
              </w:rPr>
              <w:t>本项目为新建项目，不存在与本项目有关的原有环境污染源问题。</w:t>
            </w:r>
          </w:p>
        </w:tc>
      </w:tr>
    </w:tbl>
    <w:p w14:paraId="57EAE72A">
      <w:pPr>
        <w:pStyle w:val="61"/>
        <w:jc w:val="center"/>
        <w:rPr>
          <w:rFonts w:ascii="Times New Roman" w:hAnsi="Times New Roman" w:eastAsia="黑体"/>
          <w:snapToGrid w:val="0"/>
          <w:color w:val="auto"/>
          <w:sz w:val="36"/>
          <w:szCs w:val="36"/>
          <w:highlight w:val="none"/>
        </w:rPr>
        <w:sectPr>
          <w:pgSz w:w="11906" w:h="16838"/>
          <w:pgMar w:top="1701" w:right="1531" w:bottom="1701" w:left="1531" w:header="851" w:footer="851" w:gutter="0"/>
          <w:cols w:space="720" w:num="1"/>
          <w:docGrid w:linePitch="312" w:charSpace="0"/>
        </w:sectPr>
      </w:pPr>
    </w:p>
    <w:p w14:paraId="52D0345C">
      <w:pPr>
        <w:pStyle w:val="61"/>
        <w:adjustRightInd w:val="0"/>
        <w:snapToGrid w:val="0"/>
        <w:spacing w:before="0" w:beforeAutospacing="0" w:after="0" w:afterAutospacing="0" w:line="14" w:lineRule="auto"/>
        <w:jc w:val="center"/>
        <w:outlineLvl w:val="0"/>
        <w:rPr>
          <w:rFonts w:ascii="Times New Roman" w:hAnsi="Times New Roman" w:eastAsia="黑体"/>
          <w:snapToGrid w:val="0"/>
          <w:color w:val="auto"/>
          <w:sz w:val="30"/>
          <w:szCs w:val="30"/>
          <w:highlight w:val="none"/>
        </w:rPr>
      </w:pPr>
    </w:p>
    <w:p w14:paraId="053C4A01">
      <w:pPr>
        <w:pStyle w:val="6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三、区域环境质量现状、环境保护目标及评价标准</w:t>
      </w:r>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29"/>
        <w:gridCol w:w="8501"/>
      </w:tblGrid>
      <w:tr w14:paraId="68CEB5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29" w:type="dxa"/>
            <w:shd w:val="clear" w:color="auto" w:fill="auto"/>
            <w:vAlign w:val="center"/>
          </w:tcPr>
          <w:p w14:paraId="365D1C99">
            <w:pPr>
              <w:adjustRightInd w:val="0"/>
              <w:snapToGrid w:val="0"/>
              <w:jc w:val="center"/>
              <w:rPr>
                <w:color w:val="auto"/>
                <w:kern w:val="0"/>
                <w:sz w:val="24"/>
                <w:highlight w:val="none"/>
              </w:rPr>
            </w:pPr>
            <w:r>
              <w:rPr>
                <w:color w:val="auto"/>
                <w:kern w:val="0"/>
                <w:sz w:val="24"/>
                <w:highlight w:val="none"/>
              </w:rPr>
              <w:t>区域</w:t>
            </w:r>
          </w:p>
          <w:p w14:paraId="54DA81C2">
            <w:pPr>
              <w:adjustRightInd w:val="0"/>
              <w:snapToGrid w:val="0"/>
              <w:jc w:val="center"/>
              <w:rPr>
                <w:color w:val="auto"/>
                <w:kern w:val="0"/>
                <w:sz w:val="24"/>
                <w:highlight w:val="none"/>
              </w:rPr>
            </w:pPr>
            <w:r>
              <w:rPr>
                <w:color w:val="auto"/>
                <w:kern w:val="0"/>
                <w:sz w:val="24"/>
                <w:highlight w:val="none"/>
              </w:rPr>
              <w:t>环境</w:t>
            </w:r>
          </w:p>
          <w:p w14:paraId="703B8EDC">
            <w:pPr>
              <w:adjustRightInd w:val="0"/>
              <w:snapToGrid w:val="0"/>
              <w:jc w:val="center"/>
              <w:rPr>
                <w:color w:val="auto"/>
                <w:kern w:val="0"/>
                <w:sz w:val="24"/>
                <w:highlight w:val="none"/>
              </w:rPr>
            </w:pPr>
            <w:r>
              <w:rPr>
                <w:color w:val="auto"/>
                <w:kern w:val="0"/>
                <w:sz w:val="24"/>
                <w:highlight w:val="none"/>
              </w:rPr>
              <w:t>质量</w:t>
            </w:r>
          </w:p>
          <w:p w14:paraId="60848898">
            <w:pPr>
              <w:adjustRightInd w:val="0"/>
              <w:snapToGrid w:val="0"/>
              <w:jc w:val="center"/>
              <w:rPr>
                <w:color w:val="auto"/>
                <w:kern w:val="0"/>
                <w:szCs w:val="21"/>
                <w:highlight w:val="none"/>
              </w:rPr>
            </w:pPr>
            <w:r>
              <w:rPr>
                <w:color w:val="auto"/>
                <w:kern w:val="0"/>
                <w:sz w:val="24"/>
                <w:highlight w:val="none"/>
              </w:rPr>
              <w:t>现状</w:t>
            </w:r>
          </w:p>
        </w:tc>
        <w:tc>
          <w:tcPr>
            <w:tcW w:w="8501" w:type="dxa"/>
            <w:shd w:val="clear" w:color="auto" w:fill="auto"/>
            <w:vAlign w:val="center"/>
          </w:tcPr>
          <w:p w14:paraId="18DC9714">
            <w:pPr>
              <w:spacing w:before="120" w:beforeLines="50" w:line="360" w:lineRule="auto"/>
              <w:ind w:firstLine="482" w:firstLineChars="200"/>
              <w:rPr>
                <w:b/>
                <w:bCs/>
                <w:color w:val="auto"/>
                <w:sz w:val="24"/>
                <w:highlight w:val="none"/>
              </w:rPr>
            </w:pPr>
            <w:r>
              <w:rPr>
                <w:b/>
                <w:bCs/>
                <w:color w:val="auto"/>
                <w:sz w:val="24"/>
                <w:highlight w:val="none"/>
              </w:rPr>
              <w:t>一、水环境质量现状</w:t>
            </w:r>
          </w:p>
          <w:p w14:paraId="269E8C73">
            <w:pPr>
              <w:pStyle w:val="17"/>
              <w:wordWrap w:val="0"/>
              <w:topLinePunct/>
              <w:spacing w:before="0" w:beforeAutospacing="0" w:after="0" w:afterAutospacing="0" w:line="360" w:lineRule="auto"/>
              <w:ind w:firstLine="480" w:firstLineChars="200"/>
              <w:rPr>
                <w:rFonts w:ascii="Times New Roman" w:hAnsi="Times New Roman" w:eastAsia="宋体" w:cs="Times New Roman"/>
                <w:color w:val="auto"/>
                <w:lang w:val="zh-CN"/>
              </w:rPr>
            </w:pPr>
            <w:r>
              <w:rPr>
                <w:rFonts w:hint="eastAsia" w:ascii="Times New Roman" w:hAnsi="Times New Roman" w:eastAsia="宋体" w:cs="Times New Roman"/>
                <w:color w:val="auto"/>
                <w:lang w:val="zh-CN"/>
              </w:rPr>
              <w:t>本项目所在地纳入中山市东凤镇污水处理有限责任公司的处理范围之内，本项目生活污水经中山市东凤镇污水处理有限责任公司处理达标后终于排入中心排河，根据《中山市水功能区管理办法》，纳污河道中心排河执行《地表水环境质量标准》(GB3838-2002）中</w:t>
            </w:r>
            <w:r>
              <w:rPr>
                <w:rFonts w:ascii="Times New Roman" w:hAnsi="Times New Roman" w:eastAsia="宋体" w:cs="Times New Roman"/>
                <w:color w:val="auto"/>
                <w:lang w:val="zh-CN"/>
              </w:rPr>
              <w:t>Ⅳ类标准</w:t>
            </w:r>
            <w:r>
              <w:rPr>
                <w:rFonts w:hint="eastAsia" w:ascii="Times New Roman" w:hAnsi="Times New Roman" w:eastAsia="宋体" w:cs="Times New Roman"/>
                <w:color w:val="auto"/>
                <w:lang w:val="zh-CN"/>
              </w:rPr>
              <w:t>。</w:t>
            </w:r>
          </w:p>
          <w:p w14:paraId="1DECCF18">
            <w:pPr>
              <w:tabs>
                <w:tab w:val="left" w:pos="845"/>
              </w:tabs>
              <w:spacing w:line="360" w:lineRule="auto"/>
              <w:ind w:firstLine="480" w:firstLineChars="200"/>
              <w:textAlignment w:val="baseline"/>
              <w:rPr>
                <w:color w:val="auto"/>
              </w:rPr>
            </w:pPr>
            <w:r>
              <w:rPr>
                <w:rFonts w:hint="eastAsia"/>
                <w:color w:val="auto"/>
                <w:sz w:val="24"/>
              </w:rPr>
              <w:t>根据《202</w:t>
            </w:r>
            <w:r>
              <w:rPr>
                <w:rFonts w:hint="eastAsia"/>
                <w:color w:val="auto"/>
                <w:sz w:val="24"/>
                <w:lang w:val="en-US" w:eastAsia="zh-CN"/>
              </w:rPr>
              <w:t>3</w:t>
            </w:r>
            <w:r>
              <w:rPr>
                <w:rFonts w:hint="eastAsia"/>
                <w:color w:val="auto"/>
                <w:sz w:val="24"/>
              </w:rPr>
              <w:t>年水环境年报》，鸡鸦水道、小榄水道、磨刀门水道、</w:t>
            </w:r>
            <w:r>
              <w:rPr>
                <w:rFonts w:hint="eastAsia"/>
                <w:color w:val="auto"/>
                <w:sz w:val="24"/>
                <w:lang w:val="en-US" w:eastAsia="zh-CN"/>
              </w:rPr>
              <w:t>磨刀门水道、</w:t>
            </w:r>
            <w:r>
              <w:rPr>
                <w:rFonts w:hint="eastAsia"/>
                <w:color w:val="auto"/>
                <w:sz w:val="24"/>
              </w:rPr>
              <w:t>横门水道、中心河、东海水道、洪奇沥水道、黄沙沥水道水质类别均为Ⅱ类，水质状况为优。前山河、兰溪河、泮沙排洪渠、海洲水道水质类别均为Ⅲ类，水质状况为良好。石岐河水质类别为Ⅴ类，水质状况为中度污染，超标污染物为氨氮。与2022年相比，鸡鸦水道、小榄水道、磨刀门水道、横门水道、东海水道、洪奇沥水道、黄沙沥水道、前山河水道、海洲水道、中心河、兰溪河、泮沙排洪渠水质均无明显变化。石岐河水质有所好转。</w:t>
            </w:r>
          </w:p>
          <w:p w14:paraId="5B65D323">
            <w:pPr>
              <w:tabs>
                <w:tab w:val="left" w:pos="845"/>
              </w:tabs>
              <w:spacing w:line="360" w:lineRule="auto"/>
              <w:ind w:firstLine="480" w:firstLineChars="200"/>
              <w:textAlignment w:val="baseline"/>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本项目纳污河道为中心排河，项目纳污河道汇入最近的主河为鸡鸦水道。鸡鸦水道水功能区划为饮用、渔业，水质目标Ⅱ类，执行《地表水环境质量标准》</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GB3838-2002</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中Ⅱ类标准。由此可见，鸡鸦水道满足《地表水环境质量标准》</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GB3838-2002</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中Ⅱ类标准，则说明该区域地表水质量较好。</w:t>
            </w:r>
          </w:p>
          <w:p w14:paraId="5AC07066">
            <w:pPr>
              <w:tabs>
                <w:tab w:val="left" w:pos="845"/>
              </w:tabs>
              <w:spacing w:line="360" w:lineRule="auto"/>
              <w:jc w:val="both"/>
              <w:textAlignment w:val="baseline"/>
              <w:rPr>
                <w:color w:val="auto"/>
              </w:rPr>
            </w:pPr>
            <w:r>
              <w:drawing>
                <wp:inline distT="0" distB="0" distL="114300" distR="114300">
                  <wp:extent cx="5403215" cy="3121025"/>
                  <wp:effectExtent l="0" t="0" r="6985" b="317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11"/>
                          <a:stretch>
                            <a:fillRect/>
                          </a:stretch>
                        </pic:blipFill>
                        <pic:spPr>
                          <a:xfrm>
                            <a:off x="0" y="0"/>
                            <a:ext cx="5403215" cy="3121025"/>
                          </a:xfrm>
                          <a:prstGeom prst="rect">
                            <a:avLst/>
                          </a:prstGeom>
                          <a:noFill/>
                          <a:ln>
                            <a:noFill/>
                          </a:ln>
                        </pic:spPr>
                      </pic:pic>
                    </a:graphicData>
                  </a:graphic>
                </wp:inline>
              </w:drawing>
            </w:r>
          </w:p>
          <w:p w14:paraId="73F7A420">
            <w:pPr>
              <w:spacing w:before="120" w:beforeLines="50" w:line="360" w:lineRule="auto"/>
              <w:ind w:firstLine="482" w:firstLineChars="200"/>
              <w:rPr>
                <w:b/>
                <w:bCs/>
                <w:color w:val="auto"/>
                <w:sz w:val="24"/>
                <w:highlight w:val="none"/>
              </w:rPr>
            </w:pPr>
            <w:r>
              <w:rPr>
                <w:b/>
                <w:bCs/>
                <w:color w:val="auto"/>
                <w:sz w:val="24"/>
                <w:highlight w:val="none"/>
              </w:rPr>
              <w:t>二、环境空气质量现状：</w:t>
            </w:r>
          </w:p>
          <w:p w14:paraId="5E9D3BD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szCs w:val="22"/>
                <w:highlight w:val="none"/>
              </w:rPr>
              <w:t>《中山市环境空气质量功能区划（2020修订版）》</w:t>
            </w:r>
            <w:r>
              <w:rPr>
                <w:rFonts w:hint="default" w:ascii="Times New Roman" w:hAnsi="Times New Roman" w:eastAsia="宋体" w:cs="Times New Roman"/>
                <w:color w:val="auto"/>
                <w:sz w:val="24"/>
                <w:highlight w:val="none"/>
              </w:rPr>
              <w:t>，该建设项目所在区域为二类环境空气质量功能区，执行《环境空气质量标准》(GB3095-2012)</w:t>
            </w:r>
            <w:r>
              <w:rPr>
                <w:rFonts w:hint="default" w:ascii="Times New Roman" w:hAnsi="Times New Roman" w:eastAsia="宋体" w:cs="Times New Roman"/>
                <w:color w:val="auto"/>
                <w:sz w:val="24"/>
                <w:highlight w:val="none"/>
                <w:lang w:eastAsia="zh-CN"/>
              </w:rPr>
              <w:t>及修改单</w:t>
            </w:r>
            <w:r>
              <w:rPr>
                <w:rFonts w:hint="default" w:ascii="Times New Roman" w:hAnsi="Times New Roman" w:eastAsia="宋体" w:cs="Times New Roman"/>
                <w:color w:val="auto"/>
                <w:sz w:val="24"/>
                <w:highlight w:val="none"/>
              </w:rPr>
              <w:t>中的二级标准。</w:t>
            </w:r>
          </w:p>
          <w:p w14:paraId="1E26C3D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1、空气质量达标区判定</w:t>
            </w:r>
          </w:p>
          <w:p w14:paraId="0FDFB0FD">
            <w:pPr>
              <w:spacing w:line="360" w:lineRule="auto"/>
              <w:ind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根据《中山市202</w:t>
            </w:r>
            <w:r>
              <w:rPr>
                <w:rFonts w:hint="default" w:ascii="Times New Roman" w:hAnsi="Times New Roman" w:cs="Times New Roman"/>
                <w:color w:val="000000"/>
                <w:sz w:val="24"/>
                <w:highlight w:val="none"/>
                <w:lang w:val="en-US" w:eastAsia="zh-CN"/>
              </w:rPr>
              <w:t>3</w:t>
            </w:r>
            <w:r>
              <w:rPr>
                <w:rFonts w:hint="default" w:ascii="Times New Roman" w:hAnsi="Times New Roman" w:eastAsia="宋体" w:cs="Times New Roman"/>
                <w:color w:val="000000"/>
                <w:sz w:val="24"/>
                <w:highlight w:val="none"/>
                <w:lang w:val="en-US" w:eastAsia="zh-CN"/>
              </w:rPr>
              <w:t>年大气</w:t>
            </w:r>
            <w:r>
              <w:rPr>
                <w:rFonts w:hint="default" w:ascii="Times New Roman" w:hAnsi="Times New Roman" w:eastAsia="宋体" w:cs="Times New Roman"/>
                <w:color w:val="000000"/>
                <w:sz w:val="24"/>
                <w:highlight w:val="none"/>
              </w:rPr>
              <w:t>环境质量状况公报</w:t>
            </w:r>
            <w:r>
              <w:rPr>
                <w:rFonts w:hint="default" w:ascii="Times New Roman" w:hAnsi="Times New Roman" w:eastAsia="宋体" w:cs="Times New Roman"/>
                <w:color w:val="000000"/>
                <w:sz w:val="24"/>
                <w:highlight w:val="none"/>
                <w:lang w:val="en-US" w:eastAsia="zh-CN"/>
              </w:rPr>
              <w:t>》</w:t>
            </w:r>
            <w:r>
              <w:rPr>
                <w:rFonts w:hint="default" w:ascii="Times New Roman" w:hAnsi="Times New Roman" w:eastAsia="宋体" w:cs="Times New Roman"/>
                <w:color w:val="000000"/>
                <w:sz w:val="24"/>
                <w:highlight w:val="none"/>
              </w:rPr>
              <w:t>，中山市环境空气质量202</w:t>
            </w:r>
            <w:r>
              <w:rPr>
                <w:rFonts w:hint="default" w:ascii="Times New Roman" w:hAnsi="Times New Roman" w:cs="Times New Roman"/>
                <w:color w:val="000000"/>
                <w:sz w:val="24"/>
                <w:highlight w:val="none"/>
                <w:lang w:val="en-US" w:eastAsia="zh-CN"/>
              </w:rPr>
              <w:t>3</w:t>
            </w:r>
            <w:r>
              <w:rPr>
                <w:rFonts w:hint="default" w:ascii="Times New Roman" w:hAnsi="Times New Roman" w:eastAsia="宋体" w:cs="Times New Roman"/>
                <w:color w:val="000000"/>
                <w:sz w:val="24"/>
                <w:highlight w:val="none"/>
              </w:rPr>
              <w:t>年监测数据统计结果见下表。</w:t>
            </w:r>
          </w:p>
          <w:p w14:paraId="2B53C608">
            <w:pPr>
              <w:pStyle w:val="95"/>
              <w:spacing w:before="120"/>
              <w:rPr>
                <w:rFonts w:hint="default" w:ascii="Times New Roman" w:hAnsi="Times New Roman" w:cs="Times New Roman"/>
                <w:b/>
                <w:color w:val="000000"/>
                <w:kern w:val="2"/>
                <w:sz w:val="21"/>
                <w:highlight w:val="none"/>
              </w:rPr>
            </w:pPr>
            <w:r>
              <w:rPr>
                <w:rFonts w:hint="default" w:ascii="Times New Roman" w:hAnsi="Times New Roman" w:cs="Times New Roman"/>
                <w:b/>
                <w:color w:val="000000"/>
                <w:kern w:val="2"/>
                <w:sz w:val="21"/>
                <w:highlight w:val="none"/>
              </w:rPr>
              <w:t>区域空气质量现状评价表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986"/>
              <w:gridCol w:w="1765"/>
              <w:gridCol w:w="1615"/>
              <w:gridCol w:w="1298"/>
              <w:gridCol w:w="879"/>
            </w:tblGrid>
            <w:tr w14:paraId="69ACA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05" w:type="dxa"/>
                  <w:noWrap w:val="0"/>
                  <w:vAlign w:val="center"/>
                </w:tcPr>
                <w:p w14:paraId="15B92F53">
                  <w:pPr>
                    <w:pStyle w:val="88"/>
                    <w:rPr>
                      <w:rFonts w:hint="default" w:ascii="Times New Roman" w:hAnsi="Times New Roman" w:cs="Times New Roman"/>
                      <w:b/>
                      <w:color w:val="000000"/>
                      <w:highlight w:val="none"/>
                    </w:rPr>
                  </w:pPr>
                  <w:r>
                    <w:rPr>
                      <w:rFonts w:hint="default" w:ascii="Times New Roman" w:hAnsi="Times New Roman" w:cs="Times New Roman"/>
                      <w:b/>
                      <w:color w:val="000000"/>
                      <w:highlight w:val="none"/>
                      <w:lang w:bidi="ar"/>
                    </w:rPr>
                    <w:t>污染物</w:t>
                  </w:r>
                </w:p>
              </w:tc>
              <w:tc>
                <w:tcPr>
                  <w:tcW w:w="1986" w:type="dxa"/>
                  <w:noWrap w:val="0"/>
                  <w:vAlign w:val="center"/>
                </w:tcPr>
                <w:p w14:paraId="58CD85F8">
                  <w:pPr>
                    <w:pStyle w:val="88"/>
                    <w:rPr>
                      <w:rFonts w:hint="default" w:ascii="Times New Roman" w:hAnsi="Times New Roman" w:cs="Times New Roman"/>
                      <w:b/>
                      <w:color w:val="000000"/>
                      <w:highlight w:val="none"/>
                    </w:rPr>
                  </w:pPr>
                  <w:r>
                    <w:rPr>
                      <w:rFonts w:hint="default" w:ascii="Times New Roman" w:hAnsi="Times New Roman" w:cs="Times New Roman"/>
                      <w:b/>
                      <w:color w:val="000000"/>
                      <w:highlight w:val="none"/>
                      <w:lang w:bidi="ar"/>
                    </w:rPr>
                    <w:t>年评价指标</w:t>
                  </w:r>
                </w:p>
              </w:tc>
              <w:tc>
                <w:tcPr>
                  <w:tcW w:w="1765" w:type="dxa"/>
                  <w:noWrap w:val="0"/>
                  <w:vAlign w:val="center"/>
                </w:tcPr>
                <w:p w14:paraId="288DF73A">
                  <w:pPr>
                    <w:pStyle w:val="88"/>
                    <w:rPr>
                      <w:rFonts w:hint="default" w:ascii="Times New Roman" w:hAnsi="Times New Roman" w:cs="Times New Roman"/>
                      <w:b/>
                      <w:color w:val="000000"/>
                      <w:highlight w:val="none"/>
                    </w:rPr>
                  </w:pPr>
                  <w:r>
                    <w:rPr>
                      <w:rFonts w:hint="default" w:ascii="Times New Roman" w:hAnsi="Times New Roman" w:cs="Times New Roman"/>
                      <w:b/>
                      <w:color w:val="000000"/>
                      <w:highlight w:val="none"/>
                      <w:lang w:bidi="ar"/>
                    </w:rPr>
                    <w:t>现状浓度（</w:t>
                  </w:r>
                  <w:r>
                    <w:rPr>
                      <w:rFonts w:hint="default" w:ascii="Times New Roman" w:hAnsi="Times New Roman" w:cs="Times New Roman"/>
                      <w:b/>
                      <w:color w:val="000000"/>
                      <w:highlight w:val="none"/>
                    </w:rPr>
                    <w:t>µg/m</w:t>
                  </w:r>
                  <w:r>
                    <w:rPr>
                      <w:rFonts w:hint="default" w:ascii="Times New Roman" w:hAnsi="Times New Roman" w:cs="Times New Roman"/>
                      <w:b/>
                      <w:color w:val="000000"/>
                      <w:highlight w:val="none"/>
                      <w:vertAlign w:val="superscript"/>
                    </w:rPr>
                    <w:t>3</w:t>
                  </w:r>
                  <w:r>
                    <w:rPr>
                      <w:rFonts w:hint="default" w:ascii="Times New Roman" w:hAnsi="Times New Roman" w:cs="Times New Roman"/>
                      <w:b/>
                      <w:color w:val="000000"/>
                      <w:highlight w:val="none"/>
                      <w:lang w:bidi="ar"/>
                    </w:rPr>
                    <w:t>）</w:t>
                  </w:r>
                </w:p>
              </w:tc>
              <w:tc>
                <w:tcPr>
                  <w:tcW w:w="1615" w:type="dxa"/>
                  <w:noWrap w:val="0"/>
                  <w:vAlign w:val="center"/>
                </w:tcPr>
                <w:p w14:paraId="25D36D54">
                  <w:pPr>
                    <w:pStyle w:val="88"/>
                    <w:rPr>
                      <w:rFonts w:hint="default" w:ascii="Times New Roman" w:hAnsi="Times New Roman" w:cs="Times New Roman"/>
                      <w:b/>
                      <w:color w:val="000000"/>
                      <w:highlight w:val="none"/>
                    </w:rPr>
                  </w:pPr>
                  <w:r>
                    <w:rPr>
                      <w:rFonts w:hint="default" w:ascii="Times New Roman" w:hAnsi="Times New Roman" w:cs="Times New Roman"/>
                      <w:b/>
                      <w:color w:val="000000"/>
                      <w:highlight w:val="none"/>
                      <w:lang w:bidi="ar"/>
                    </w:rPr>
                    <w:t>标准值（</w:t>
                  </w:r>
                  <w:r>
                    <w:rPr>
                      <w:rFonts w:hint="default" w:ascii="Times New Roman" w:hAnsi="Times New Roman" w:cs="Times New Roman"/>
                      <w:b/>
                      <w:color w:val="000000"/>
                      <w:highlight w:val="none"/>
                    </w:rPr>
                    <w:t>µg/m</w:t>
                  </w:r>
                  <w:r>
                    <w:rPr>
                      <w:rFonts w:hint="default" w:ascii="Times New Roman" w:hAnsi="Times New Roman" w:cs="Times New Roman"/>
                      <w:b/>
                      <w:color w:val="000000"/>
                      <w:highlight w:val="none"/>
                      <w:vertAlign w:val="superscript"/>
                    </w:rPr>
                    <w:t>3</w:t>
                  </w:r>
                  <w:r>
                    <w:rPr>
                      <w:rFonts w:hint="default" w:ascii="Times New Roman" w:hAnsi="Times New Roman" w:cs="Times New Roman"/>
                      <w:b/>
                      <w:color w:val="000000"/>
                      <w:highlight w:val="none"/>
                      <w:lang w:bidi="ar"/>
                    </w:rPr>
                    <w:t>）</w:t>
                  </w:r>
                </w:p>
              </w:tc>
              <w:tc>
                <w:tcPr>
                  <w:tcW w:w="1298" w:type="dxa"/>
                  <w:noWrap w:val="0"/>
                  <w:vAlign w:val="center"/>
                </w:tcPr>
                <w:p w14:paraId="42871924">
                  <w:pPr>
                    <w:pStyle w:val="88"/>
                    <w:rPr>
                      <w:rFonts w:hint="default" w:ascii="Times New Roman" w:hAnsi="Times New Roman" w:cs="Times New Roman"/>
                      <w:b/>
                      <w:color w:val="000000"/>
                      <w:highlight w:val="none"/>
                      <w:lang w:bidi="ar"/>
                    </w:rPr>
                  </w:pPr>
                  <w:r>
                    <w:rPr>
                      <w:rFonts w:hint="default" w:ascii="Times New Roman" w:hAnsi="Times New Roman" w:cs="Times New Roman"/>
                      <w:b/>
                      <w:color w:val="000000"/>
                      <w:highlight w:val="none"/>
                      <w:lang w:bidi="ar"/>
                    </w:rPr>
                    <w:t>占标率（%）</w:t>
                  </w:r>
                </w:p>
              </w:tc>
              <w:tc>
                <w:tcPr>
                  <w:tcW w:w="879" w:type="dxa"/>
                  <w:noWrap w:val="0"/>
                  <w:vAlign w:val="center"/>
                </w:tcPr>
                <w:p w14:paraId="3ECE7403">
                  <w:pPr>
                    <w:pStyle w:val="88"/>
                    <w:rPr>
                      <w:rFonts w:hint="default" w:ascii="Times New Roman" w:hAnsi="Times New Roman" w:cs="Times New Roman"/>
                      <w:b/>
                      <w:color w:val="000000"/>
                      <w:highlight w:val="none"/>
                      <w:lang w:bidi="ar"/>
                    </w:rPr>
                  </w:pPr>
                  <w:r>
                    <w:rPr>
                      <w:rFonts w:hint="default" w:ascii="Times New Roman" w:hAnsi="Times New Roman" w:cs="Times New Roman"/>
                      <w:b/>
                      <w:color w:val="000000"/>
                      <w:highlight w:val="none"/>
                      <w:lang w:bidi="ar"/>
                    </w:rPr>
                    <w:t>达标情况</w:t>
                  </w:r>
                </w:p>
              </w:tc>
            </w:tr>
            <w:tr w14:paraId="23BA4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restart"/>
                  <w:noWrap w:val="0"/>
                  <w:vAlign w:val="center"/>
                </w:tcPr>
                <w:p w14:paraId="4BE35363">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SO</w:t>
                  </w:r>
                  <w:r>
                    <w:rPr>
                      <w:rFonts w:hint="default" w:ascii="Times New Roman" w:hAnsi="Times New Roman" w:cs="Times New Roman"/>
                      <w:color w:val="000000"/>
                      <w:highlight w:val="none"/>
                      <w:vertAlign w:val="subscript"/>
                      <w:lang w:bidi="ar"/>
                    </w:rPr>
                    <w:t>2</w:t>
                  </w:r>
                </w:p>
              </w:tc>
              <w:tc>
                <w:tcPr>
                  <w:tcW w:w="1986" w:type="dxa"/>
                  <w:noWrap w:val="0"/>
                  <w:vAlign w:val="center"/>
                </w:tcPr>
                <w:p w14:paraId="7C6F0A73">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日均值第98百分位数浓度值</w:t>
                  </w:r>
                </w:p>
              </w:tc>
              <w:tc>
                <w:tcPr>
                  <w:tcW w:w="1765" w:type="dxa"/>
                  <w:noWrap w:val="0"/>
                  <w:vAlign w:val="center"/>
                </w:tcPr>
                <w:p w14:paraId="5B231253">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8</w:t>
                  </w:r>
                </w:p>
              </w:tc>
              <w:tc>
                <w:tcPr>
                  <w:tcW w:w="1615" w:type="dxa"/>
                  <w:noWrap w:val="0"/>
                  <w:vAlign w:val="center"/>
                </w:tcPr>
                <w:p w14:paraId="717E4BE4">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1298" w:type="dxa"/>
                  <w:noWrap w:val="0"/>
                  <w:vAlign w:val="center"/>
                </w:tcPr>
                <w:p w14:paraId="10469AC8">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eastAsia="宋体" w:cs="Times New Roman"/>
                      <w:color w:val="000000"/>
                      <w:highlight w:val="none"/>
                      <w:lang w:val="en-US" w:eastAsia="zh-CN" w:bidi="ar"/>
                    </w:rPr>
                    <w:t>5.3</w:t>
                  </w:r>
                </w:p>
              </w:tc>
              <w:tc>
                <w:tcPr>
                  <w:tcW w:w="879" w:type="dxa"/>
                  <w:noWrap w:val="0"/>
                  <w:vAlign w:val="center"/>
                </w:tcPr>
                <w:p w14:paraId="0C9E8CF4">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38744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continue"/>
                  <w:noWrap w:val="0"/>
                  <w:vAlign w:val="center"/>
                </w:tcPr>
                <w:p w14:paraId="0864EA01">
                  <w:pPr>
                    <w:pStyle w:val="88"/>
                    <w:rPr>
                      <w:rFonts w:hint="default" w:ascii="Times New Roman" w:hAnsi="Times New Roman" w:cs="Times New Roman"/>
                      <w:color w:val="000000"/>
                      <w:highlight w:val="none"/>
                    </w:rPr>
                  </w:pPr>
                </w:p>
              </w:tc>
              <w:tc>
                <w:tcPr>
                  <w:tcW w:w="1986" w:type="dxa"/>
                  <w:noWrap w:val="0"/>
                  <w:vAlign w:val="center"/>
                </w:tcPr>
                <w:p w14:paraId="242F67DA">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年平均值</w:t>
                  </w:r>
                </w:p>
              </w:tc>
              <w:tc>
                <w:tcPr>
                  <w:tcW w:w="1765" w:type="dxa"/>
                  <w:noWrap w:val="0"/>
                  <w:vAlign w:val="center"/>
                </w:tcPr>
                <w:p w14:paraId="38CA1D3A">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5</w:t>
                  </w:r>
                </w:p>
              </w:tc>
              <w:tc>
                <w:tcPr>
                  <w:tcW w:w="1615" w:type="dxa"/>
                  <w:noWrap w:val="0"/>
                  <w:vAlign w:val="center"/>
                </w:tcPr>
                <w:p w14:paraId="79867435">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60</w:t>
                  </w:r>
                </w:p>
              </w:tc>
              <w:tc>
                <w:tcPr>
                  <w:tcW w:w="1298" w:type="dxa"/>
                  <w:noWrap w:val="0"/>
                  <w:vAlign w:val="center"/>
                </w:tcPr>
                <w:p w14:paraId="4A3E4BFD">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8.3</w:t>
                  </w:r>
                </w:p>
              </w:tc>
              <w:tc>
                <w:tcPr>
                  <w:tcW w:w="879" w:type="dxa"/>
                  <w:noWrap w:val="0"/>
                  <w:vAlign w:val="center"/>
                </w:tcPr>
                <w:p w14:paraId="507DE593">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23F51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restart"/>
                  <w:noWrap w:val="0"/>
                  <w:vAlign w:val="center"/>
                </w:tcPr>
                <w:p w14:paraId="0E7B2A5C">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NO</w:t>
                  </w:r>
                  <w:r>
                    <w:rPr>
                      <w:rFonts w:hint="default" w:ascii="Times New Roman" w:hAnsi="Times New Roman" w:cs="Times New Roman"/>
                      <w:color w:val="000000"/>
                      <w:highlight w:val="none"/>
                      <w:vertAlign w:val="subscript"/>
                      <w:lang w:bidi="ar"/>
                    </w:rPr>
                    <w:t>2</w:t>
                  </w:r>
                </w:p>
              </w:tc>
              <w:tc>
                <w:tcPr>
                  <w:tcW w:w="1986" w:type="dxa"/>
                  <w:noWrap w:val="0"/>
                  <w:vAlign w:val="center"/>
                </w:tcPr>
                <w:p w14:paraId="2293E3EF">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日均值第98百分位数浓度值</w:t>
                  </w:r>
                </w:p>
              </w:tc>
              <w:tc>
                <w:tcPr>
                  <w:tcW w:w="1765" w:type="dxa"/>
                  <w:noWrap w:val="0"/>
                  <w:vAlign w:val="center"/>
                </w:tcPr>
                <w:p w14:paraId="78095CB1">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56</w:t>
                  </w:r>
                </w:p>
              </w:tc>
              <w:tc>
                <w:tcPr>
                  <w:tcW w:w="1615" w:type="dxa"/>
                  <w:noWrap w:val="0"/>
                  <w:vAlign w:val="center"/>
                </w:tcPr>
                <w:p w14:paraId="42486E7E">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80</w:t>
                  </w:r>
                </w:p>
              </w:tc>
              <w:tc>
                <w:tcPr>
                  <w:tcW w:w="1298" w:type="dxa"/>
                  <w:noWrap w:val="0"/>
                  <w:vAlign w:val="center"/>
                </w:tcPr>
                <w:p w14:paraId="43FC9601">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70</w:t>
                  </w:r>
                </w:p>
              </w:tc>
              <w:tc>
                <w:tcPr>
                  <w:tcW w:w="879" w:type="dxa"/>
                  <w:noWrap w:val="0"/>
                  <w:vAlign w:val="center"/>
                </w:tcPr>
                <w:p w14:paraId="15A0BF66">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662D7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continue"/>
                  <w:noWrap w:val="0"/>
                  <w:vAlign w:val="center"/>
                </w:tcPr>
                <w:p w14:paraId="3662937F">
                  <w:pPr>
                    <w:pStyle w:val="88"/>
                    <w:rPr>
                      <w:rFonts w:hint="default" w:ascii="Times New Roman" w:hAnsi="Times New Roman" w:cs="Times New Roman"/>
                      <w:color w:val="000000"/>
                      <w:highlight w:val="none"/>
                      <w:lang w:bidi="ar"/>
                    </w:rPr>
                  </w:pPr>
                </w:p>
              </w:tc>
              <w:tc>
                <w:tcPr>
                  <w:tcW w:w="1986" w:type="dxa"/>
                  <w:noWrap w:val="0"/>
                  <w:vAlign w:val="center"/>
                </w:tcPr>
                <w:p w14:paraId="02EF209F">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年平均值</w:t>
                  </w:r>
                </w:p>
              </w:tc>
              <w:tc>
                <w:tcPr>
                  <w:tcW w:w="1765" w:type="dxa"/>
                  <w:noWrap w:val="0"/>
                  <w:vAlign w:val="center"/>
                </w:tcPr>
                <w:p w14:paraId="32C0DDBE">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eastAsia="宋体" w:cs="Times New Roman"/>
                      <w:color w:val="000000"/>
                      <w:highlight w:val="none"/>
                      <w:lang w:val="en-US" w:eastAsia="zh-CN" w:bidi="ar"/>
                    </w:rPr>
                    <w:t>21</w:t>
                  </w:r>
                </w:p>
              </w:tc>
              <w:tc>
                <w:tcPr>
                  <w:tcW w:w="1615" w:type="dxa"/>
                  <w:noWrap w:val="0"/>
                  <w:vAlign w:val="center"/>
                </w:tcPr>
                <w:p w14:paraId="22F0CFEC">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40</w:t>
                  </w:r>
                </w:p>
              </w:tc>
              <w:tc>
                <w:tcPr>
                  <w:tcW w:w="1298" w:type="dxa"/>
                  <w:noWrap w:val="0"/>
                  <w:vAlign w:val="center"/>
                </w:tcPr>
                <w:p w14:paraId="720E8BC1">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52.5</w:t>
                  </w:r>
                </w:p>
              </w:tc>
              <w:tc>
                <w:tcPr>
                  <w:tcW w:w="879" w:type="dxa"/>
                  <w:noWrap w:val="0"/>
                  <w:vAlign w:val="center"/>
                </w:tcPr>
                <w:p w14:paraId="50F99E5B">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05915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restart"/>
                  <w:noWrap w:val="0"/>
                  <w:vAlign w:val="center"/>
                </w:tcPr>
                <w:p w14:paraId="58B80502">
                  <w:pPr>
                    <w:pStyle w:val="88"/>
                    <w:rPr>
                      <w:rFonts w:hint="default" w:ascii="Times New Roman" w:hAnsi="Times New Roman" w:cs="Times New Roman"/>
                      <w:color w:val="000000"/>
                      <w:highlight w:val="none"/>
                      <w:vertAlign w:val="subscript"/>
                    </w:rPr>
                  </w:pPr>
                  <w:r>
                    <w:rPr>
                      <w:rFonts w:hint="default" w:ascii="Times New Roman" w:hAnsi="Times New Roman" w:cs="Times New Roman"/>
                      <w:color w:val="000000"/>
                      <w:highlight w:val="none"/>
                      <w:lang w:bidi="ar"/>
                    </w:rPr>
                    <w:t>PM</w:t>
                  </w:r>
                  <w:r>
                    <w:rPr>
                      <w:rFonts w:hint="default" w:ascii="Times New Roman" w:hAnsi="Times New Roman" w:cs="Times New Roman"/>
                      <w:color w:val="000000"/>
                      <w:highlight w:val="none"/>
                      <w:vertAlign w:val="subscript"/>
                      <w:lang w:bidi="ar"/>
                    </w:rPr>
                    <w:t>10</w:t>
                  </w:r>
                </w:p>
              </w:tc>
              <w:tc>
                <w:tcPr>
                  <w:tcW w:w="1986" w:type="dxa"/>
                  <w:noWrap w:val="0"/>
                  <w:vAlign w:val="center"/>
                </w:tcPr>
                <w:p w14:paraId="5CE5CC73">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日均值第95百分位数浓度值</w:t>
                  </w:r>
                </w:p>
              </w:tc>
              <w:tc>
                <w:tcPr>
                  <w:tcW w:w="1765" w:type="dxa"/>
                  <w:noWrap w:val="0"/>
                  <w:vAlign w:val="center"/>
                </w:tcPr>
                <w:p w14:paraId="3DE8DB98">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72</w:t>
                  </w:r>
                </w:p>
              </w:tc>
              <w:tc>
                <w:tcPr>
                  <w:tcW w:w="1615" w:type="dxa"/>
                  <w:noWrap w:val="0"/>
                  <w:vAlign w:val="center"/>
                </w:tcPr>
                <w:p w14:paraId="1BA62EFE">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150</w:t>
                  </w:r>
                </w:p>
              </w:tc>
              <w:tc>
                <w:tcPr>
                  <w:tcW w:w="1298" w:type="dxa"/>
                  <w:noWrap w:val="0"/>
                  <w:vAlign w:val="center"/>
                </w:tcPr>
                <w:p w14:paraId="3749FB88">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48</w:t>
                  </w:r>
                </w:p>
              </w:tc>
              <w:tc>
                <w:tcPr>
                  <w:tcW w:w="879" w:type="dxa"/>
                  <w:noWrap w:val="0"/>
                  <w:vAlign w:val="center"/>
                </w:tcPr>
                <w:p w14:paraId="7C37C7F6">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0D013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continue"/>
                  <w:noWrap w:val="0"/>
                  <w:vAlign w:val="center"/>
                </w:tcPr>
                <w:p w14:paraId="058FE24B">
                  <w:pPr>
                    <w:pStyle w:val="88"/>
                    <w:rPr>
                      <w:rFonts w:hint="default" w:ascii="Times New Roman" w:hAnsi="Times New Roman" w:cs="Times New Roman"/>
                      <w:color w:val="000000"/>
                      <w:highlight w:val="none"/>
                      <w:lang w:bidi="ar"/>
                    </w:rPr>
                  </w:pPr>
                </w:p>
              </w:tc>
              <w:tc>
                <w:tcPr>
                  <w:tcW w:w="1986" w:type="dxa"/>
                  <w:noWrap w:val="0"/>
                  <w:vAlign w:val="center"/>
                </w:tcPr>
                <w:p w14:paraId="4010752F">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年平均值</w:t>
                  </w:r>
                </w:p>
              </w:tc>
              <w:tc>
                <w:tcPr>
                  <w:tcW w:w="1765" w:type="dxa"/>
                  <w:noWrap w:val="0"/>
                  <w:vAlign w:val="center"/>
                </w:tcPr>
                <w:p w14:paraId="0657B38F">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35</w:t>
                  </w:r>
                </w:p>
              </w:tc>
              <w:tc>
                <w:tcPr>
                  <w:tcW w:w="1615" w:type="dxa"/>
                  <w:noWrap w:val="0"/>
                  <w:vAlign w:val="center"/>
                </w:tcPr>
                <w:p w14:paraId="32395B6F">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70</w:t>
                  </w:r>
                </w:p>
              </w:tc>
              <w:tc>
                <w:tcPr>
                  <w:tcW w:w="1298" w:type="dxa"/>
                  <w:noWrap w:val="0"/>
                  <w:vAlign w:val="center"/>
                </w:tcPr>
                <w:p w14:paraId="2EEC3F7D">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50</w:t>
                  </w:r>
                </w:p>
              </w:tc>
              <w:tc>
                <w:tcPr>
                  <w:tcW w:w="879" w:type="dxa"/>
                  <w:noWrap w:val="0"/>
                  <w:vAlign w:val="center"/>
                </w:tcPr>
                <w:p w14:paraId="687AF5A7">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628B9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restart"/>
                  <w:noWrap w:val="0"/>
                  <w:vAlign w:val="center"/>
                </w:tcPr>
                <w:p w14:paraId="2036F29E">
                  <w:pPr>
                    <w:pStyle w:val="88"/>
                    <w:rPr>
                      <w:rFonts w:hint="default" w:ascii="Times New Roman" w:hAnsi="Times New Roman" w:cs="Times New Roman"/>
                      <w:color w:val="000000"/>
                      <w:highlight w:val="none"/>
                      <w:vertAlign w:val="subscript"/>
                    </w:rPr>
                  </w:pPr>
                  <w:r>
                    <w:rPr>
                      <w:rFonts w:hint="default" w:ascii="Times New Roman" w:hAnsi="Times New Roman" w:cs="Times New Roman"/>
                      <w:color w:val="000000"/>
                      <w:highlight w:val="none"/>
                      <w:lang w:bidi="ar"/>
                    </w:rPr>
                    <w:t>PM</w:t>
                  </w:r>
                  <w:r>
                    <w:rPr>
                      <w:rFonts w:hint="default" w:ascii="Times New Roman" w:hAnsi="Times New Roman" w:cs="Times New Roman"/>
                      <w:color w:val="000000"/>
                      <w:highlight w:val="none"/>
                      <w:vertAlign w:val="subscript"/>
                      <w:lang w:bidi="ar"/>
                    </w:rPr>
                    <w:t>2.5</w:t>
                  </w:r>
                </w:p>
              </w:tc>
              <w:tc>
                <w:tcPr>
                  <w:tcW w:w="1986" w:type="dxa"/>
                  <w:noWrap w:val="0"/>
                  <w:vAlign w:val="center"/>
                </w:tcPr>
                <w:p w14:paraId="63622BE5">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日均值第95百分位数浓度值</w:t>
                  </w:r>
                </w:p>
              </w:tc>
              <w:tc>
                <w:tcPr>
                  <w:tcW w:w="1765" w:type="dxa"/>
                  <w:noWrap w:val="0"/>
                  <w:vAlign w:val="center"/>
                </w:tcPr>
                <w:p w14:paraId="68A6759A">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42</w:t>
                  </w:r>
                </w:p>
              </w:tc>
              <w:tc>
                <w:tcPr>
                  <w:tcW w:w="1615" w:type="dxa"/>
                  <w:noWrap w:val="0"/>
                  <w:vAlign w:val="center"/>
                </w:tcPr>
                <w:p w14:paraId="4A471E38">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75</w:t>
                  </w:r>
                </w:p>
              </w:tc>
              <w:tc>
                <w:tcPr>
                  <w:tcW w:w="1298" w:type="dxa"/>
                  <w:noWrap w:val="0"/>
                  <w:vAlign w:val="center"/>
                </w:tcPr>
                <w:p w14:paraId="4C4480FC">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56</w:t>
                  </w:r>
                </w:p>
              </w:tc>
              <w:tc>
                <w:tcPr>
                  <w:tcW w:w="879" w:type="dxa"/>
                  <w:noWrap w:val="0"/>
                  <w:vAlign w:val="center"/>
                </w:tcPr>
                <w:p w14:paraId="25DD367A">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10B3D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vMerge w:val="continue"/>
                  <w:noWrap w:val="0"/>
                  <w:vAlign w:val="center"/>
                </w:tcPr>
                <w:p w14:paraId="4AC62646">
                  <w:pPr>
                    <w:pStyle w:val="88"/>
                    <w:rPr>
                      <w:rFonts w:hint="default" w:ascii="Times New Roman" w:hAnsi="Times New Roman" w:cs="Times New Roman"/>
                      <w:color w:val="000000"/>
                      <w:highlight w:val="none"/>
                      <w:lang w:bidi="ar"/>
                    </w:rPr>
                  </w:pPr>
                </w:p>
              </w:tc>
              <w:tc>
                <w:tcPr>
                  <w:tcW w:w="1986" w:type="dxa"/>
                  <w:noWrap w:val="0"/>
                  <w:vAlign w:val="center"/>
                </w:tcPr>
                <w:p w14:paraId="02A99C22">
                  <w:pPr>
                    <w:pStyle w:val="88"/>
                    <w:rPr>
                      <w:rFonts w:hint="default" w:ascii="Times New Roman" w:hAnsi="Times New Roman" w:cs="Times New Roman"/>
                      <w:color w:val="000000"/>
                      <w:highlight w:val="none"/>
                      <w:vertAlign w:val="subscript"/>
                    </w:rPr>
                  </w:pPr>
                  <w:r>
                    <w:rPr>
                      <w:rFonts w:hint="default" w:ascii="Times New Roman" w:hAnsi="Times New Roman" w:cs="Times New Roman"/>
                      <w:color w:val="000000"/>
                      <w:highlight w:val="none"/>
                      <w:lang w:bidi="ar"/>
                    </w:rPr>
                    <w:t>年平均值</w:t>
                  </w:r>
                </w:p>
              </w:tc>
              <w:tc>
                <w:tcPr>
                  <w:tcW w:w="1765" w:type="dxa"/>
                  <w:noWrap w:val="0"/>
                  <w:vAlign w:val="center"/>
                </w:tcPr>
                <w:p w14:paraId="68095982">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20</w:t>
                  </w:r>
                </w:p>
              </w:tc>
              <w:tc>
                <w:tcPr>
                  <w:tcW w:w="1615" w:type="dxa"/>
                  <w:noWrap w:val="0"/>
                  <w:vAlign w:val="center"/>
                </w:tcPr>
                <w:p w14:paraId="61D7B9C2">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35</w:t>
                  </w:r>
                </w:p>
              </w:tc>
              <w:tc>
                <w:tcPr>
                  <w:tcW w:w="1298" w:type="dxa"/>
                  <w:noWrap w:val="0"/>
                  <w:vAlign w:val="center"/>
                </w:tcPr>
                <w:p w14:paraId="10687127">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57.1</w:t>
                  </w:r>
                </w:p>
              </w:tc>
              <w:tc>
                <w:tcPr>
                  <w:tcW w:w="879" w:type="dxa"/>
                  <w:noWrap w:val="0"/>
                  <w:vAlign w:val="center"/>
                </w:tcPr>
                <w:p w14:paraId="64B52537">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r w14:paraId="5DDC9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noWrap w:val="0"/>
                  <w:vAlign w:val="center"/>
                </w:tcPr>
                <w:p w14:paraId="784EB44C">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O</w:t>
                  </w:r>
                  <w:r>
                    <w:rPr>
                      <w:rFonts w:hint="default" w:ascii="Times New Roman" w:hAnsi="Times New Roman" w:cs="Times New Roman"/>
                      <w:color w:val="000000"/>
                      <w:highlight w:val="none"/>
                      <w:vertAlign w:val="subscript"/>
                      <w:lang w:bidi="ar"/>
                    </w:rPr>
                    <w:t>3</w:t>
                  </w:r>
                </w:p>
              </w:tc>
              <w:tc>
                <w:tcPr>
                  <w:tcW w:w="1986" w:type="dxa"/>
                  <w:noWrap w:val="0"/>
                  <w:vAlign w:val="center"/>
                </w:tcPr>
                <w:p w14:paraId="347244D0">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rPr>
                    <w:t>日最大8小时滑动平均值的90百分位数浓度值</w:t>
                  </w:r>
                </w:p>
              </w:tc>
              <w:tc>
                <w:tcPr>
                  <w:tcW w:w="1765" w:type="dxa"/>
                  <w:noWrap w:val="0"/>
                  <w:vAlign w:val="center"/>
                </w:tcPr>
                <w:p w14:paraId="46591AC4">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163</w:t>
                  </w:r>
                </w:p>
              </w:tc>
              <w:tc>
                <w:tcPr>
                  <w:tcW w:w="1615" w:type="dxa"/>
                  <w:noWrap w:val="0"/>
                  <w:vAlign w:val="center"/>
                </w:tcPr>
                <w:p w14:paraId="7B1CDC48">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160</w:t>
                  </w:r>
                </w:p>
              </w:tc>
              <w:tc>
                <w:tcPr>
                  <w:tcW w:w="1298" w:type="dxa"/>
                  <w:noWrap w:val="0"/>
                  <w:vAlign w:val="center"/>
                </w:tcPr>
                <w:p w14:paraId="7A32F25A">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101.8</w:t>
                  </w:r>
                </w:p>
              </w:tc>
              <w:tc>
                <w:tcPr>
                  <w:tcW w:w="879" w:type="dxa"/>
                  <w:noWrap w:val="0"/>
                  <w:vAlign w:val="center"/>
                </w:tcPr>
                <w:p w14:paraId="6A929016">
                  <w:pPr>
                    <w:pStyle w:val="88"/>
                    <w:rPr>
                      <w:rFonts w:hint="default" w:ascii="Times New Roman" w:hAnsi="Times New Roman" w:eastAsia="宋体" w:cs="Times New Roman"/>
                      <w:color w:val="000000"/>
                      <w:highlight w:val="none"/>
                      <w:lang w:eastAsia="zh-CN" w:bidi="ar"/>
                    </w:rPr>
                  </w:pPr>
                  <w:r>
                    <w:rPr>
                      <w:rFonts w:hint="default" w:ascii="Times New Roman" w:hAnsi="Times New Roman" w:cs="Times New Roman"/>
                      <w:color w:val="000000"/>
                      <w:highlight w:val="none"/>
                      <w:lang w:val="en-US" w:eastAsia="zh-CN" w:bidi="ar"/>
                    </w:rPr>
                    <w:t>超标</w:t>
                  </w:r>
                </w:p>
              </w:tc>
            </w:tr>
            <w:tr w14:paraId="7ECB3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5" w:type="dxa"/>
                  <w:noWrap w:val="0"/>
                  <w:vAlign w:val="center"/>
                </w:tcPr>
                <w:p w14:paraId="35B06FD2">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CO</w:t>
                  </w:r>
                </w:p>
              </w:tc>
              <w:tc>
                <w:tcPr>
                  <w:tcW w:w="1986" w:type="dxa"/>
                  <w:noWrap w:val="0"/>
                  <w:vAlign w:val="center"/>
                </w:tcPr>
                <w:p w14:paraId="38A6BD6B">
                  <w:pPr>
                    <w:pStyle w:val="88"/>
                    <w:rPr>
                      <w:rFonts w:hint="default" w:ascii="Times New Roman" w:hAnsi="Times New Roman" w:cs="Times New Roman"/>
                      <w:color w:val="000000"/>
                      <w:highlight w:val="none"/>
                    </w:rPr>
                  </w:pPr>
                  <w:r>
                    <w:rPr>
                      <w:rFonts w:hint="default" w:ascii="Times New Roman" w:hAnsi="Times New Roman" w:cs="Times New Roman"/>
                      <w:color w:val="000000"/>
                      <w:highlight w:val="none"/>
                      <w:lang w:bidi="ar"/>
                    </w:rPr>
                    <w:t>日均值第95百分位数浓度值</w:t>
                  </w:r>
                </w:p>
              </w:tc>
              <w:tc>
                <w:tcPr>
                  <w:tcW w:w="1765" w:type="dxa"/>
                  <w:noWrap w:val="0"/>
                  <w:vAlign w:val="center"/>
                </w:tcPr>
                <w:p w14:paraId="18D9C98E">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800</w:t>
                  </w:r>
                </w:p>
              </w:tc>
              <w:tc>
                <w:tcPr>
                  <w:tcW w:w="1615" w:type="dxa"/>
                  <w:noWrap w:val="0"/>
                  <w:vAlign w:val="center"/>
                </w:tcPr>
                <w:p w14:paraId="20D3DAE0">
                  <w:pPr>
                    <w:pStyle w:val="88"/>
                    <w:ind w:firstLine="2" w:firstLineChars="0"/>
                    <w:rPr>
                      <w:rFonts w:hint="default" w:ascii="Times New Roman" w:hAnsi="Times New Roman" w:eastAsia="宋体" w:cs="Times New Roman"/>
                      <w:color w:val="000000"/>
                      <w:highlight w:val="none"/>
                      <w:lang w:val="en-US" w:eastAsia="zh-CN"/>
                    </w:rPr>
                  </w:pPr>
                  <w:r>
                    <w:rPr>
                      <w:rFonts w:hint="default" w:ascii="Times New Roman" w:hAnsi="Times New Roman" w:cs="Times New Roman"/>
                      <w:color w:val="000000"/>
                      <w:highlight w:val="none"/>
                      <w:lang w:val="en-US" w:eastAsia="zh-CN"/>
                    </w:rPr>
                    <w:t>4000</w:t>
                  </w:r>
                </w:p>
              </w:tc>
              <w:tc>
                <w:tcPr>
                  <w:tcW w:w="1298" w:type="dxa"/>
                  <w:noWrap w:val="0"/>
                  <w:vAlign w:val="center"/>
                </w:tcPr>
                <w:p w14:paraId="6DA09C11">
                  <w:pPr>
                    <w:pStyle w:val="88"/>
                    <w:ind w:firstLine="2" w:firstLineChars="0"/>
                    <w:rPr>
                      <w:rFonts w:hint="default" w:ascii="Times New Roman" w:hAnsi="Times New Roman" w:eastAsia="宋体" w:cs="Times New Roman"/>
                      <w:color w:val="000000"/>
                      <w:highlight w:val="none"/>
                      <w:lang w:val="en-US" w:eastAsia="zh-CN" w:bidi="ar"/>
                    </w:rPr>
                  </w:pPr>
                  <w:r>
                    <w:rPr>
                      <w:rFonts w:hint="default" w:ascii="Times New Roman" w:hAnsi="Times New Roman" w:cs="Times New Roman"/>
                      <w:color w:val="000000"/>
                      <w:highlight w:val="none"/>
                      <w:lang w:val="en-US" w:eastAsia="zh-CN" w:bidi="ar"/>
                    </w:rPr>
                    <w:t>20</w:t>
                  </w:r>
                </w:p>
              </w:tc>
              <w:tc>
                <w:tcPr>
                  <w:tcW w:w="879" w:type="dxa"/>
                  <w:noWrap w:val="0"/>
                  <w:vAlign w:val="center"/>
                </w:tcPr>
                <w:p w14:paraId="313EF6A9">
                  <w:pPr>
                    <w:pStyle w:val="88"/>
                    <w:rPr>
                      <w:rFonts w:hint="default" w:ascii="Times New Roman" w:hAnsi="Times New Roman" w:cs="Times New Roman"/>
                      <w:color w:val="000000"/>
                      <w:highlight w:val="none"/>
                      <w:lang w:bidi="ar"/>
                    </w:rPr>
                  </w:pPr>
                  <w:r>
                    <w:rPr>
                      <w:rFonts w:hint="default" w:ascii="Times New Roman" w:hAnsi="Times New Roman" w:cs="Times New Roman"/>
                      <w:color w:val="000000"/>
                      <w:highlight w:val="none"/>
                      <w:lang w:bidi="ar"/>
                    </w:rPr>
                    <w:t>达标</w:t>
                  </w:r>
                </w:p>
              </w:tc>
            </w:tr>
          </w:tbl>
          <w:p w14:paraId="3D9D0E34">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202</w:t>
            </w:r>
            <w:r>
              <w:rPr>
                <w:rFonts w:hint="default" w:ascii="Times New Roman" w:hAnsi="Times New Roman" w:cs="Times New Roman"/>
                <w:color w:val="000000"/>
                <w:sz w:val="24"/>
                <w:highlight w:val="none"/>
                <w:lang w:val="en-US" w:eastAsia="zh-CN"/>
              </w:rPr>
              <w:t>3</w:t>
            </w:r>
            <w:r>
              <w:rPr>
                <w:rFonts w:hint="default" w:ascii="Times New Roman" w:hAnsi="Times New Roman" w:eastAsia="宋体" w:cs="Times New Roman"/>
                <w:color w:val="000000"/>
                <w:sz w:val="24"/>
                <w:highlight w:val="none"/>
              </w:rPr>
              <w:t>年中山市城市SO</w:t>
            </w:r>
            <w:r>
              <w:rPr>
                <w:rFonts w:hint="default" w:ascii="Times New Roman" w:hAnsi="Times New Roman" w:eastAsia="宋体" w:cs="Times New Roman"/>
                <w:color w:val="000000"/>
                <w:sz w:val="24"/>
                <w:highlight w:val="none"/>
                <w:vertAlign w:val="subscript"/>
              </w:rPr>
              <w:t>2</w:t>
            </w:r>
            <w:r>
              <w:rPr>
                <w:rFonts w:hint="default" w:ascii="Times New Roman" w:hAnsi="Times New Roman" w:eastAsia="宋体" w:cs="Times New Roman"/>
                <w:color w:val="000000"/>
                <w:sz w:val="24"/>
                <w:highlight w:val="none"/>
              </w:rPr>
              <w:t>、NO</w:t>
            </w:r>
            <w:r>
              <w:rPr>
                <w:rFonts w:hint="default" w:ascii="Times New Roman" w:hAnsi="Times New Roman" w:eastAsia="宋体" w:cs="Times New Roman"/>
                <w:color w:val="000000"/>
                <w:sz w:val="24"/>
                <w:highlight w:val="none"/>
                <w:vertAlign w:val="subscript"/>
              </w:rPr>
              <w:t>2</w:t>
            </w:r>
            <w:r>
              <w:rPr>
                <w:rFonts w:hint="default" w:ascii="Times New Roman" w:hAnsi="Times New Roman" w:eastAsia="宋体" w:cs="Times New Roman"/>
                <w:color w:val="000000"/>
                <w:sz w:val="24"/>
                <w:highlight w:val="none"/>
              </w:rPr>
              <w:t>、PM</w:t>
            </w:r>
            <w:r>
              <w:rPr>
                <w:rFonts w:hint="default" w:ascii="Times New Roman" w:hAnsi="Times New Roman" w:eastAsia="宋体" w:cs="Times New Roman"/>
                <w:color w:val="000000"/>
                <w:sz w:val="24"/>
                <w:highlight w:val="none"/>
                <w:vertAlign w:val="subscript"/>
              </w:rPr>
              <w:t>10</w:t>
            </w:r>
            <w:r>
              <w:rPr>
                <w:rFonts w:hint="default" w:ascii="Times New Roman" w:hAnsi="Times New Roman" w:eastAsia="宋体" w:cs="Times New Roman"/>
                <w:color w:val="000000"/>
                <w:sz w:val="24"/>
                <w:highlight w:val="none"/>
              </w:rPr>
              <w:t>、PM</w:t>
            </w:r>
            <w:r>
              <w:rPr>
                <w:rFonts w:hint="default" w:ascii="Times New Roman" w:hAnsi="Times New Roman" w:eastAsia="宋体" w:cs="Times New Roman"/>
                <w:color w:val="000000"/>
                <w:sz w:val="24"/>
                <w:highlight w:val="none"/>
                <w:vertAlign w:val="subscript"/>
              </w:rPr>
              <w:t>2.5</w:t>
            </w:r>
            <w:r>
              <w:rPr>
                <w:rFonts w:hint="default" w:ascii="Times New Roman" w:hAnsi="Times New Roman" w:eastAsia="宋体" w:cs="Times New Roman"/>
                <w:color w:val="000000"/>
                <w:sz w:val="24"/>
                <w:highlight w:val="none"/>
              </w:rPr>
              <w:t>的年均值及相应的日均值特定百分位数浓度值均达到《环境空气质量标准》(GB3095-2012)及2018年修改单二级标准，CO日均值第95百分位数浓度值达到《环境空气质量标准》(GB 3095-2012)及2018年修改单二级标准，O</w:t>
            </w:r>
            <w:r>
              <w:rPr>
                <w:rFonts w:hint="default" w:ascii="Times New Roman" w:hAnsi="Times New Roman" w:eastAsia="宋体" w:cs="Times New Roman"/>
                <w:color w:val="000000"/>
                <w:sz w:val="24"/>
                <w:highlight w:val="none"/>
                <w:vertAlign w:val="subscript"/>
              </w:rPr>
              <w:t>3</w:t>
            </w:r>
            <w:r>
              <w:rPr>
                <w:rFonts w:hint="default" w:ascii="Times New Roman" w:hAnsi="Times New Roman" w:eastAsia="宋体" w:cs="Times New Roman"/>
                <w:color w:val="000000"/>
                <w:sz w:val="24"/>
                <w:highlight w:val="none"/>
              </w:rPr>
              <w:t>日最大8小时平均值的第90百分位数浓度值</w:t>
            </w:r>
            <w:r>
              <w:rPr>
                <w:rFonts w:hint="default" w:ascii="Times New Roman" w:hAnsi="Times New Roman" w:cs="Times New Roman"/>
                <w:color w:val="000000"/>
                <w:sz w:val="24"/>
                <w:highlight w:val="none"/>
                <w:lang w:val="en-US" w:eastAsia="zh-CN"/>
              </w:rPr>
              <w:t>超出</w:t>
            </w:r>
            <w:r>
              <w:rPr>
                <w:rFonts w:hint="default" w:ascii="Times New Roman" w:hAnsi="Times New Roman" w:eastAsia="宋体" w:cs="Times New Roman"/>
                <w:color w:val="000000"/>
                <w:sz w:val="24"/>
                <w:highlight w:val="none"/>
              </w:rPr>
              <w:t>《环境空气质量标准》(GB 3095-2012)及2018年修改单二级标准。项目所在区域为</w:t>
            </w:r>
            <w:r>
              <w:rPr>
                <w:rFonts w:hint="default" w:ascii="Times New Roman" w:hAnsi="Times New Roman" w:eastAsia="宋体" w:cs="Times New Roman"/>
                <w:color w:val="000000"/>
                <w:sz w:val="24"/>
                <w:highlight w:val="none"/>
                <w:lang w:val="en-US" w:eastAsia="zh-CN"/>
              </w:rPr>
              <w:t>不</w:t>
            </w:r>
            <w:r>
              <w:rPr>
                <w:rFonts w:hint="default" w:ascii="Times New Roman" w:hAnsi="Times New Roman" w:eastAsia="宋体" w:cs="Times New Roman"/>
                <w:color w:val="000000"/>
                <w:sz w:val="24"/>
                <w:highlight w:val="none"/>
              </w:rPr>
              <w:t>达标区。</w:t>
            </w:r>
          </w:p>
          <w:p w14:paraId="354E4490">
            <w:pPr>
              <w:spacing w:line="360" w:lineRule="auto"/>
              <w:ind w:firstLine="480" w:firstLineChars="200"/>
              <w:rPr>
                <w:rFonts w:hint="default"/>
              </w:rPr>
            </w:pPr>
            <w:r>
              <w:rPr>
                <w:rFonts w:hint="eastAsia" w:ascii="宋体" w:hAnsi="宋体" w:eastAsia="宋体" w:cs="宋体"/>
                <w:b w:val="0"/>
                <w:bCs w:val="0"/>
                <w:color w:val="auto"/>
                <w:sz w:val="24"/>
                <w:szCs w:val="24"/>
              </w:rPr>
              <w:t>为改善大气</w:t>
            </w:r>
            <w:r>
              <w:rPr>
                <w:rFonts w:hint="eastAsia" w:ascii="Times New Roman" w:hAnsi="Times New Roman" w:eastAsia="宋体" w:cs="Times New Roman"/>
                <w:b w:val="0"/>
                <w:bCs w:val="0"/>
                <w:color w:val="auto"/>
                <w:sz w:val="24"/>
                <w:szCs w:val="24"/>
              </w:rPr>
              <w:t>污染状况，中山市生态环境局已在“十四五”规划中提出要求：“深入推进臭氧污染防控。优化大气环境监测网络。积极推进VOCs综合治理。强化电厂（含垃圾焚烧厂）、工业锅炉和窑炉排放治理。”其中“推动锅炉、工业炉窑清洁能源改造，逐步淘汰生物质燃料，促进用热企业向集中供热管网覆盖范围集聚。推进工业锅炉污染综合治理，制定工业锅炉专项整治方案，实施分级管控，对全市范围内现有的254台生物质锅炉分批改造为天然气锅炉，10蒸吨及以上锅炉须安装在线监测设备并与环保部门联网；根据省工作要求，新建燃气锅炉应采取低氮燃烧技术或高效脱硝技术确保氮氧化物排放浓度达到《锅炉大为改善大气污染状况，中山市生态环境局已在“十四五</w:t>
            </w:r>
            <w:r>
              <w:rPr>
                <w:rFonts w:ascii="Times New Roman" w:hAnsi="Times New Roman" w:eastAsia="宋体" w:cs="Times New Roman"/>
                <w:b w:val="0"/>
                <w:bCs w:val="0"/>
                <w:color w:val="auto"/>
                <w:sz w:val="24"/>
                <w:szCs w:val="24"/>
              </w:rPr>
              <w:t>”规划中提出要求：“深入推进臭氧污染防控。优化大气环境监测网络。积极推进VOCs综合治理。强化电厂（含垃圾焚烧厂）、工业锅炉和窑炉排放治理。”其中推动锅炉、工业炉窑清洁能源改造，逐步淘汰生物质燃料，促进用热企业向集中供热</w:t>
            </w:r>
            <w:r>
              <w:rPr>
                <w:rFonts w:hint="eastAsia" w:ascii="Times New Roman" w:hAnsi="Times New Roman" w:eastAsia="宋体" w:cs="Times New Roman"/>
                <w:b w:val="0"/>
                <w:bCs w:val="0"/>
                <w:color w:val="auto"/>
                <w:sz w:val="24"/>
                <w:szCs w:val="24"/>
              </w:rPr>
              <w:t>管网覆盖范围集聚。推进工业锅炉污染综合治理，制定工业锅炉专项整治方案，实施分级管控，对全市范围内现有的254台生物质锅炉分批改造为天然气锅炉，10蒸吨及以上锅炉须安装在线监测设备并与环保部门联网；根据省工作要求，新建燃气锅炉应采取低氮燃烧技术或高效脱硝技术确保氮氧化物排放浓度达到《锅炉大为改善大气污染状况，中山市生态环境局已在“十四五”规划中提出要求：“深入推进臭氧污染防控。优化大气环境监测网络。积极推进VOCs综合治理</w:t>
            </w:r>
            <w:r>
              <w:rPr>
                <w:rFonts w:ascii="Times New Roman" w:hAnsi="Times New Roman" w:eastAsia="宋体" w:cs="Times New Roman"/>
                <w:b w:val="0"/>
                <w:bCs w:val="0"/>
                <w:color w:val="auto"/>
                <w:sz w:val="24"/>
                <w:szCs w:val="24"/>
              </w:rPr>
              <w:t>。强化电厂（含垃圾焚烧厂）、工业锅炉和窑炉排放治理。”其中“推动锅炉、工业炉窑清洁能源改造，逐步淘汰生物质燃料，促进用热企业向集中供热管网覆盖</w:t>
            </w:r>
            <w:r>
              <w:rPr>
                <w:rFonts w:eastAsia="宋体"/>
                <w:b w:val="0"/>
                <w:bCs w:val="0"/>
                <w:color w:val="auto"/>
                <w:sz w:val="24"/>
                <w:szCs w:val="24"/>
              </w:rPr>
              <w:t>范围集聚。推进工业锅炉污染综合治理，制定工业锅炉专项整治方案，实施分级管控，对全市范围内现有的254台生物质锅炉分批改造为天然气锅炉，10吨及以上锅炉须安装在线监测设备并 与环保部门联网；根据省工作要求，新建燃气锅炉应采取低氮燃烧技术或高效脱硝技术确保氮氧化物排放浓度达到《锅炉大气污染物排放标准》（DB44/765-2019）特别排放限值要求，并发布特别排放限值执行公告。开展工业炉窑专项整治，建立各类工业炉窑管理清单，实施工业炉窑大气污染综合治理，稳步</w:t>
            </w:r>
            <w:r>
              <w:rPr>
                <w:rFonts w:hint="eastAsia" w:ascii="宋体" w:hAnsi="宋体" w:eastAsia="宋体" w:cs="宋体"/>
                <w:b w:val="0"/>
                <w:bCs w:val="0"/>
                <w:color w:val="auto"/>
                <w:sz w:val="24"/>
                <w:szCs w:val="24"/>
              </w:rPr>
              <w:t>推进炉窑分级管控。鼓励以天然气作为燃料的企事业单位采取低氮燃烧改造。”</w:t>
            </w:r>
          </w:p>
          <w:p w14:paraId="6783AC75">
            <w:pPr>
              <w:spacing w:line="360" w:lineRule="auto"/>
              <w:ind w:firstLine="480" w:firstLineChars="200"/>
              <w:rPr>
                <w:color w:val="auto"/>
                <w:sz w:val="24"/>
                <w:highlight w:val="none"/>
              </w:rPr>
            </w:pPr>
            <w:r>
              <w:rPr>
                <w:color w:val="auto"/>
                <w:sz w:val="24"/>
                <w:highlight w:val="none"/>
              </w:rPr>
              <w:t>（</w:t>
            </w:r>
            <w:r>
              <w:rPr>
                <w:rFonts w:hint="eastAsia"/>
                <w:color w:val="auto"/>
                <w:sz w:val="24"/>
                <w:highlight w:val="none"/>
                <w:lang w:val="en-US" w:eastAsia="zh-CN"/>
              </w:rPr>
              <w:t>1</w:t>
            </w:r>
            <w:r>
              <w:rPr>
                <w:color w:val="auto"/>
                <w:sz w:val="24"/>
                <w:highlight w:val="none"/>
              </w:rPr>
              <w:t>）基本污染物环境质量现状</w:t>
            </w:r>
          </w:p>
          <w:p w14:paraId="5CC69679">
            <w:pPr>
              <w:spacing w:line="360" w:lineRule="auto"/>
              <w:ind w:firstLine="480" w:firstLineChars="200"/>
              <w:rPr>
                <w:color w:val="auto"/>
                <w:sz w:val="24"/>
                <w:highlight w:val="none"/>
              </w:rPr>
            </w:pPr>
            <w:r>
              <w:rPr>
                <w:rFonts w:hint="default"/>
                <w:color w:val="auto"/>
                <w:sz w:val="24"/>
                <w:highlight w:val="none"/>
              </w:rPr>
              <w:t>本项目位于环境空气二类功能区，SO</w:t>
            </w:r>
            <w:r>
              <w:rPr>
                <w:rFonts w:hint="default"/>
                <w:color w:val="auto"/>
                <w:sz w:val="24"/>
                <w:highlight w:val="none"/>
                <w:vertAlign w:val="subscript"/>
              </w:rPr>
              <w:t>2</w:t>
            </w:r>
            <w:r>
              <w:rPr>
                <w:rFonts w:hint="default"/>
                <w:color w:val="auto"/>
                <w:sz w:val="24"/>
                <w:highlight w:val="none"/>
              </w:rPr>
              <w:t>、NO</w:t>
            </w:r>
            <w:r>
              <w:rPr>
                <w:rFonts w:hint="default"/>
                <w:color w:val="auto"/>
                <w:sz w:val="24"/>
                <w:highlight w:val="none"/>
                <w:vertAlign w:val="subscript"/>
              </w:rPr>
              <w:t>2</w:t>
            </w:r>
            <w:r>
              <w:rPr>
                <w:rFonts w:hint="default"/>
                <w:color w:val="auto"/>
                <w:sz w:val="24"/>
                <w:highlight w:val="none"/>
              </w:rPr>
              <w:t>、PM</w:t>
            </w:r>
            <w:r>
              <w:rPr>
                <w:rFonts w:hint="default"/>
                <w:color w:val="auto"/>
                <w:sz w:val="24"/>
                <w:highlight w:val="none"/>
                <w:vertAlign w:val="subscript"/>
              </w:rPr>
              <w:t>10</w:t>
            </w:r>
            <w:r>
              <w:rPr>
                <w:rFonts w:hint="default"/>
                <w:color w:val="auto"/>
                <w:sz w:val="24"/>
                <w:highlight w:val="none"/>
              </w:rPr>
              <w:t>、PM</w:t>
            </w:r>
            <w:r>
              <w:rPr>
                <w:rFonts w:hint="default"/>
                <w:color w:val="auto"/>
                <w:sz w:val="24"/>
                <w:highlight w:val="none"/>
                <w:vertAlign w:val="subscript"/>
              </w:rPr>
              <w:t>2.5</w:t>
            </w:r>
            <w:r>
              <w:rPr>
                <w:rFonts w:hint="default"/>
                <w:color w:val="auto"/>
                <w:sz w:val="24"/>
                <w:highlight w:val="none"/>
              </w:rPr>
              <w:t>、CO、O</w:t>
            </w:r>
            <w:r>
              <w:rPr>
                <w:rFonts w:hint="default"/>
                <w:color w:val="auto"/>
                <w:sz w:val="24"/>
                <w:highlight w:val="none"/>
                <w:vertAlign w:val="subscript"/>
              </w:rPr>
              <w:t>3</w:t>
            </w:r>
            <w:r>
              <w:rPr>
                <w:rFonts w:hint="default"/>
                <w:color w:val="auto"/>
                <w:sz w:val="24"/>
                <w:highlight w:val="none"/>
              </w:rPr>
              <w:t>执行《环境空气质量标准》（GB3095-2012）及修改单二级标准。采用</w:t>
            </w:r>
            <w:r>
              <w:rPr>
                <w:rFonts w:hint="default"/>
                <w:color w:val="auto"/>
                <w:sz w:val="24"/>
                <w:highlight w:val="none"/>
                <w:lang w:eastAsia="zh-CN"/>
              </w:rPr>
              <w:t>小榄</w:t>
            </w:r>
            <w:r>
              <w:rPr>
                <w:rFonts w:hint="default"/>
                <w:color w:val="auto"/>
                <w:sz w:val="24"/>
                <w:highlight w:val="none"/>
              </w:rPr>
              <w:t>空气质量监测站点的监测数据，根据《中山市20</w:t>
            </w:r>
            <w:r>
              <w:rPr>
                <w:rFonts w:hint="default"/>
                <w:color w:val="auto"/>
                <w:sz w:val="24"/>
                <w:highlight w:val="none"/>
                <w:lang w:val="en-US" w:eastAsia="zh-CN"/>
              </w:rPr>
              <w:t>2</w:t>
            </w:r>
            <w:r>
              <w:rPr>
                <w:rFonts w:hint="eastAsia"/>
                <w:color w:val="auto"/>
                <w:sz w:val="24"/>
                <w:highlight w:val="none"/>
                <w:lang w:val="en-US" w:eastAsia="zh-CN"/>
              </w:rPr>
              <w:t>2</w:t>
            </w:r>
            <w:r>
              <w:rPr>
                <w:rFonts w:hint="default"/>
                <w:color w:val="auto"/>
                <w:sz w:val="24"/>
                <w:highlight w:val="none"/>
              </w:rPr>
              <w:t>年环境空气质量监测站点数据（</w:t>
            </w:r>
            <w:r>
              <w:rPr>
                <w:rFonts w:hint="default"/>
                <w:color w:val="auto"/>
                <w:sz w:val="24"/>
                <w:highlight w:val="none"/>
                <w:lang w:eastAsia="zh-CN"/>
              </w:rPr>
              <w:t>小榄</w:t>
            </w:r>
            <w:r>
              <w:rPr>
                <w:rFonts w:hint="default"/>
                <w:color w:val="auto"/>
                <w:sz w:val="24"/>
                <w:highlight w:val="none"/>
              </w:rPr>
              <w:t>站）》，SO</w:t>
            </w:r>
            <w:r>
              <w:rPr>
                <w:rFonts w:hint="default"/>
                <w:color w:val="auto"/>
                <w:sz w:val="24"/>
                <w:highlight w:val="none"/>
                <w:vertAlign w:val="subscript"/>
              </w:rPr>
              <w:t>2</w:t>
            </w:r>
            <w:r>
              <w:rPr>
                <w:rFonts w:hint="default"/>
                <w:color w:val="auto"/>
                <w:sz w:val="24"/>
                <w:highlight w:val="none"/>
              </w:rPr>
              <w:t>、NO</w:t>
            </w:r>
            <w:r>
              <w:rPr>
                <w:rFonts w:hint="default"/>
                <w:color w:val="auto"/>
                <w:sz w:val="24"/>
                <w:highlight w:val="none"/>
                <w:vertAlign w:val="subscript"/>
              </w:rPr>
              <w:t>2</w:t>
            </w:r>
            <w:r>
              <w:rPr>
                <w:rFonts w:hint="default"/>
                <w:color w:val="auto"/>
                <w:sz w:val="24"/>
                <w:highlight w:val="none"/>
              </w:rPr>
              <w:t>、PM</w:t>
            </w:r>
            <w:r>
              <w:rPr>
                <w:rFonts w:hint="default"/>
                <w:color w:val="auto"/>
                <w:sz w:val="24"/>
                <w:highlight w:val="none"/>
                <w:vertAlign w:val="subscript"/>
              </w:rPr>
              <w:t>10</w:t>
            </w:r>
            <w:r>
              <w:rPr>
                <w:rFonts w:hint="default"/>
                <w:color w:val="auto"/>
                <w:sz w:val="24"/>
                <w:highlight w:val="none"/>
              </w:rPr>
              <w:t>、PM</w:t>
            </w:r>
            <w:r>
              <w:rPr>
                <w:rFonts w:hint="default"/>
                <w:color w:val="auto"/>
                <w:sz w:val="24"/>
                <w:highlight w:val="none"/>
                <w:vertAlign w:val="subscript"/>
              </w:rPr>
              <w:t>2.5</w:t>
            </w:r>
            <w:r>
              <w:rPr>
                <w:rFonts w:hint="default"/>
                <w:color w:val="auto"/>
                <w:sz w:val="24"/>
                <w:highlight w:val="none"/>
              </w:rPr>
              <w:t>、CO、O</w:t>
            </w:r>
            <w:r>
              <w:rPr>
                <w:rFonts w:hint="default"/>
                <w:color w:val="auto"/>
                <w:sz w:val="24"/>
                <w:highlight w:val="none"/>
                <w:vertAlign w:val="subscript"/>
              </w:rPr>
              <w:t>3</w:t>
            </w:r>
            <w:r>
              <w:rPr>
                <w:rFonts w:hint="default"/>
                <w:color w:val="auto"/>
                <w:sz w:val="24"/>
                <w:highlight w:val="none"/>
              </w:rPr>
              <w:t>的监测结果见下表。</w:t>
            </w:r>
          </w:p>
          <w:p w14:paraId="48240F67">
            <w:pPr>
              <w:pStyle w:val="95"/>
              <w:spacing w:before="120"/>
              <w:ind w:left="0"/>
              <w:rPr>
                <w:b/>
                <w:color w:val="auto"/>
                <w:kern w:val="2"/>
                <w:highlight w:val="none"/>
              </w:rPr>
            </w:pPr>
            <w:r>
              <w:rPr>
                <w:b/>
                <w:color w:val="auto"/>
                <w:kern w:val="2"/>
                <w:highlight w:val="none"/>
              </w:rPr>
              <w:t>基本污染物环境质量现状</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93"/>
              <w:gridCol w:w="469"/>
              <w:gridCol w:w="469"/>
              <w:gridCol w:w="800"/>
              <w:gridCol w:w="1217"/>
              <w:gridCol w:w="946"/>
              <w:gridCol w:w="1176"/>
              <w:gridCol w:w="893"/>
              <w:gridCol w:w="986"/>
              <w:gridCol w:w="761"/>
            </w:tblGrid>
            <w:tr w14:paraId="61672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93" w:type="dxa"/>
                  <w:vMerge w:val="restart"/>
                  <w:tcBorders>
                    <w:top w:val="single" w:color="auto" w:sz="4" w:space="0"/>
                    <w:left w:val="single" w:color="auto" w:sz="4" w:space="0"/>
                    <w:right w:val="single" w:color="auto" w:sz="4" w:space="0"/>
                  </w:tcBorders>
                  <w:shd w:val="clear" w:color="auto" w:fill="auto"/>
                  <w:vAlign w:val="center"/>
                </w:tcPr>
                <w:p w14:paraId="513C73A8">
                  <w:pPr>
                    <w:snapToGrid w:val="0"/>
                    <w:spacing w:line="0" w:lineRule="atLeast"/>
                    <w:jc w:val="center"/>
                    <w:rPr>
                      <w:b/>
                      <w:bCs/>
                      <w:color w:val="auto"/>
                      <w:szCs w:val="21"/>
                      <w:highlight w:val="none"/>
                    </w:rPr>
                  </w:pPr>
                  <w:r>
                    <w:rPr>
                      <w:b/>
                      <w:bCs/>
                      <w:color w:val="auto"/>
                      <w:szCs w:val="21"/>
                      <w:highlight w:val="none"/>
                    </w:rPr>
                    <w:t>点位名称</w:t>
                  </w:r>
                </w:p>
              </w:tc>
              <w:tc>
                <w:tcPr>
                  <w:tcW w:w="93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13087807">
                  <w:pPr>
                    <w:snapToGrid w:val="0"/>
                    <w:spacing w:line="0" w:lineRule="atLeast"/>
                    <w:jc w:val="center"/>
                    <w:rPr>
                      <w:b/>
                      <w:bCs/>
                      <w:color w:val="auto"/>
                      <w:szCs w:val="21"/>
                      <w:highlight w:val="none"/>
                    </w:rPr>
                  </w:pPr>
                  <w:r>
                    <w:rPr>
                      <w:b/>
                      <w:bCs/>
                      <w:color w:val="auto"/>
                      <w:szCs w:val="21"/>
                      <w:highlight w:val="none"/>
                    </w:rPr>
                    <w:t>监测点坐标/m</w:t>
                  </w:r>
                </w:p>
              </w:tc>
              <w:tc>
                <w:tcPr>
                  <w:tcW w:w="800" w:type="dxa"/>
                  <w:vMerge w:val="restart"/>
                  <w:tcBorders>
                    <w:top w:val="single" w:color="auto" w:sz="4" w:space="0"/>
                    <w:left w:val="single" w:color="auto" w:sz="4" w:space="0"/>
                    <w:right w:val="single" w:color="auto" w:sz="4" w:space="0"/>
                  </w:tcBorders>
                  <w:shd w:val="clear" w:color="auto" w:fill="auto"/>
                  <w:vAlign w:val="center"/>
                </w:tcPr>
                <w:p w14:paraId="0CE41165">
                  <w:pPr>
                    <w:snapToGrid w:val="0"/>
                    <w:spacing w:line="0" w:lineRule="atLeast"/>
                    <w:jc w:val="center"/>
                    <w:rPr>
                      <w:b/>
                      <w:bCs/>
                      <w:color w:val="auto"/>
                      <w:szCs w:val="21"/>
                      <w:highlight w:val="none"/>
                    </w:rPr>
                  </w:pPr>
                  <w:r>
                    <w:rPr>
                      <w:b/>
                      <w:bCs/>
                      <w:color w:val="auto"/>
                      <w:szCs w:val="21"/>
                      <w:highlight w:val="none"/>
                    </w:rPr>
                    <w:t>污染物</w:t>
                  </w:r>
                </w:p>
              </w:tc>
              <w:tc>
                <w:tcPr>
                  <w:tcW w:w="1217" w:type="dxa"/>
                  <w:vMerge w:val="restart"/>
                  <w:tcBorders>
                    <w:top w:val="single" w:color="auto" w:sz="4" w:space="0"/>
                    <w:left w:val="single" w:color="auto" w:sz="4" w:space="0"/>
                    <w:right w:val="single" w:color="auto" w:sz="4" w:space="0"/>
                  </w:tcBorders>
                  <w:shd w:val="clear" w:color="auto" w:fill="auto"/>
                  <w:vAlign w:val="center"/>
                </w:tcPr>
                <w:p w14:paraId="66FBD408">
                  <w:pPr>
                    <w:snapToGrid w:val="0"/>
                    <w:spacing w:line="0" w:lineRule="atLeast"/>
                    <w:jc w:val="center"/>
                    <w:rPr>
                      <w:b/>
                      <w:bCs/>
                      <w:color w:val="auto"/>
                      <w:szCs w:val="21"/>
                      <w:highlight w:val="none"/>
                    </w:rPr>
                  </w:pPr>
                  <w:r>
                    <w:rPr>
                      <w:b/>
                      <w:bCs/>
                      <w:color w:val="auto"/>
                      <w:szCs w:val="21"/>
                      <w:highlight w:val="none"/>
                    </w:rPr>
                    <w:t>年</w:t>
                  </w:r>
                  <w:r>
                    <w:rPr>
                      <w:rFonts w:hint="eastAsia"/>
                      <w:b/>
                      <w:bCs/>
                      <w:color w:val="auto"/>
                      <w:szCs w:val="21"/>
                      <w:highlight w:val="none"/>
                      <w:lang w:val="en-US" w:eastAsia="zh-CN"/>
                    </w:rPr>
                    <w:t>度</w:t>
                  </w:r>
                  <w:r>
                    <w:rPr>
                      <w:b/>
                      <w:bCs/>
                      <w:color w:val="auto"/>
                      <w:szCs w:val="21"/>
                      <w:highlight w:val="none"/>
                    </w:rPr>
                    <w:t>评价指标</w:t>
                  </w:r>
                </w:p>
              </w:tc>
              <w:tc>
                <w:tcPr>
                  <w:tcW w:w="946" w:type="dxa"/>
                  <w:vMerge w:val="restart"/>
                  <w:tcBorders>
                    <w:top w:val="single" w:color="auto" w:sz="4" w:space="0"/>
                    <w:left w:val="single" w:color="auto" w:sz="4" w:space="0"/>
                    <w:right w:val="single" w:color="auto" w:sz="4" w:space="0"/>
                  </w:tcBorders>
                  <w:shd w:val="clear" w:color="auto" w:fill="auto"/>
                  <w:vAlign w:val="center"/>
                </w:tcPr>
                <w:p w14:paraId="6A6210F6">
                  <w:pPr>
                    <w:snapToGrid w:val="0"/>
                    <w:spacing w:line="0" w:lineRule="atLeast"/>
                    <w:jc w:val="center"/>
                    <w:rPr>
                      <w:b/>
                      <w:bCs/>
                      <w:color w:val="auto"/>
                      <w:szCs w:val="21"/>
                      <w:highlight w:val="none"/>
                    </w:rPr>
                  </w:pPr>
                  <w:r>
                    <w:rPr>
                      <w:b/>
                      <w:bCs/>
                      <w:color w:val="auto"/>
                      <w:szCs w:val="21"/>
                      <w:highlight w:val="none"/>
                    </w:rPr>
                    <w:t>评价标准µg/m</w:t>
                  </w:r>
                  <w:r>
                    <w:rPr>
                      <w:b/>
                      <w:bCs/>
                      <w:color w:val="auto"/>
                      <w:szCs w:val="21"/>
                      <w:highlight w:val="none"/>
                      <w:vertAlign w:val="superscript"/>
                    </w:rPr>
                    <w:t>3</w:t>
                  </w:r>
                </w:p>
              </w:tc>
              <w:tc>
                <w:tcPr>
                  <w:tcW w:w="1176" w:type="dxa"/>
                  <w:vMerge w:val="restart"/>
                  <w:tcBorders>
                    <w:top w:val="single" w:color="auto" w:sz="4" w:space="0"/>
                    <w:left w:val="single" w:color="auto" w:sz="4" w:space="0"/>
                    <w:right w:val="single" w:color="auto" w:sz="4" w:space="0"/>
                  </w:tcBorders>
                  <w:shd w:val="clear" w:color="auto" w:fill="auto"/>
                  <w:vAlign w:val="center"/>
                </w:tcPr>
                <w:p w14:paraId="0675ED29">
                  <w:pPr>
                    <w:snapToGrid w:val="0"/>
                    <w:spacing w:line="0" w:lineRule="atLeast"/>
                    <w:jc w:val="center"/>
                    <w:rPr>
                      <w:b/>
                      <w:bCs/>
                      <w:color w:val="auto"/>
                      <w:szCs w:val="21"/>
                      <w:highlight w:val="none"/>
                    </w:rPr>
                  </w:pPr>
                  <w:r>
                    <w:rPr>
                      <w:b/>
                      <w:bCs/>
                      <w:color w:val="auto"/>
                      <w:szCs w:val="21"/>
                      <w:highlight w:val="none"/>
                    </w:rPr>
                    <w:t>现状浓度（µg/m</w:t>
                  </w:r>
                  <w:r>
                    <w:rPr>
                      <w:b/>
                      <w:bCs/>
                      <w:color w:val="auto"/>
                      <w:szCs w:val="21"/>
                      <w:highlight w:val="none"/>
                      <w:vertAlign w:val="superscript"/>
                    </w:rPr>
                    <w:t>3</w:t>
                  </w:r>
                  <w:r>
                    <w:rPr>
                      <w:b/>
                      <w:bCs/>
                      <w:color w:val="auto"/>
                      <w:szCs w:val="21"/>
                      <w:highlight w:val="none"/>
                    </w:rPr>
                    <w:t>）</w:t>
                  </w:r>
                </w:p>
              </w:tc>
              <w:tc>
                <w:tcPr>
                  <w:tcW w:w="893" w:type="dxa"/>
                  <w:vMerge w:val="restart"/>
                  <w:tcBorders>
                    <w:top w:val="single" w:color="auto" w:sz="4" w:space="0"/>
                    <w:left w:val="single" w:color="auto" w:sz="4" w:space="0"/>
                    <w:right w:val="single" w:color="auto" w:sz="4" w:space="0"/>
                  </w:tcBorders>
                  <w:shd w:val="clear" w:color="auto" w:fill="auto"/>
                  <w:vAlign w:val="center"/>
                </w:tcPr>
                <w:p w14:paraId="1A64585A">
                  <w:pPr>
                    <w:snapToGrid w:val="0"/>
                    <w:spacing w:line="0" w:lineRule="atLeast"/>
                    <w:jc w:val="center"/>
                    <w:rPr>
                      <w:b/>
                      <w:bCs/>
                      <w:color w:val="auto"/>
                      <w:szCs w:val="21"/>
                      <w:highlight w:val="none"/>
                    </w:rPr>
                  </w:pPr>
                  <w:r>
                    <w:rPr>
                      <w:b/>
                      <w:bCs/>
                      <w:color w:val="auto"/>
                      <w:szCs w:val="21"/>
                      <w:highlight w:val="none"/>
                    </w:rPr>
                    <w:t>最大浓度占标率%</w:t>
                  </w:r>
                </w:p>
              </w:tc>
              <w:tc>
                <w:tcPr>
                  <w:tcW w:w="986" w:type="dxa"/>
                  <w:vMerge w:val="restart"/>
                  <w:tcBorders>
                    <w:top w:val="single" w:color="auto" w:sz="4" w:space="0"/>
                    <w:left w:val="single" w:color="auto" w:sz="4" w:space="0"/>
                    <w:right w:val="single" w:color="auto" w:sz="4" w:space="0"/>
                  </w:tcBorders>
                  <w:shd w:val="clear" w:color="auto" w:fill="auto"/>
                  <w:vAlign w:val="center"/>
                </w:tcPr>
                <w:p w14:paraId="778AA1A8">
                  <w:pPr>
                    <w:snapToGrid w:val="0"/>
                    <w:spacing w:line="0" w:lineRule="atLeast"/>
                    <w:jc w:val="center"/>
                    <w:rPr>
                      <w:b/>
                      <w:bCs/>
                      <w:color w:val="auto"/>
                      <w:szCs w:val="21"/>
                      <w:highlight w:val="none"/>
                    </w:rPr>
                  </w:pPr>
                  <w:r>
                    <w:rPr>
                      <w:b/>
                      <w:bCs/>
                      <w:color w:val="auto"/>
                      <w:szCs w:val="21"/>
                      <w:highlight w:val="none"/>
                    </w:rPr>
                    <w:t>超标频率%</w:t>
                  </w:r>
                </w:p>
              </w:tc>
              <w:tc>
                <w:tcPr>
                  <w:tcW w:w="761" w:type="dxa"/>
                  <w:vMerge w:val="restart"/>
                  <w:tcBorders>
                    <w:top w:val="single" w:color="auto" w:sz="4" w:space="0"/>
                    <w:left w:val="single" w:color="auto" w:sz="4" w:space="0"/>
                    <w:right w:val="single" w:color="auto" w:sz="4" w:space="0"/>
                  </w:tcBorders>
                  <w:shd w:val="clear" w:color="auto" w:fill="auto"/>
                  <w:vAlign w:val="center"/>
                </w:tcPr>
                <w:p w14:paraId="6910E583">
                  <w:pPr>
                    <w:snapToGrid w:val="0"/>
                    <w:spacing w:line="0" w:lineRule="atLeast"/>
                    <w:jc w:val="center"/>
                    <w:rPr>
                      <w:b/>
                      <w:bCs/>
                      <w:color w:val="auto"/>
                      <w:szCs w:val="21"/>
                      <w:highlight w:val="none"/>
                    </w:rPr>
                  </w:pPr>
                  <w:r>
                    <w:rPr>
                      <w:b/>
                      <w:bCs/>
                      <w:color w:val="auto"/>
                      <w:szCs w:val="21"/>
                      <w:highlight w:val="none"/>
                    </w:rPr>
                    <w:t>达标情况</w:t>
                  </w:r>
                </w:p>
              </w:tc>
            </w:tr>
            <w:tr w14:paraId="7FDE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93" w:type="dxa"/>
                  <w:vMerge w:val="continue"/>
                  <w:tcBorders>
                    <w:left w:val="single" w:color="auto" w:sz="4" w:space="0"/>
                    <w:bottom w:val="single" w:color="auto" w:sz="4" w:space="0"/>
                    <w:right w:val="single" w:color="auto" w:sz="4" w:space="0"/>
                  </w:tcBorders>
                  <w:shd w:val="clear" w:color="auto" w:fill="auto"/>
                  <w:vAlign w:val="center"/>
                </w:tcPr>
                <w:p w14:paraId="278C5620">
                  <w:pPr>
                    <w:snapToGrid w:val="0"/>
                    <w:spacing w:line="0" w:lineRule="atLeast"/>
                    <w:jc w:val="center"/>
                    <w:rPr>
                      <w:b/>
                      <w:bCs/>
                      <w:color w:val="auto"/>
                      <w:szCs w:val="21"/>
                      <w:highlight w:val="none"/>
                    </w:rPr>
                  </w:pPr>
                </w:p>
              </w:tc>
              <w:tc>
                <w:tcPr>
                  <w:tcW w:w="469" w:type="dxa"/>
                  <w:tcBorders>
                    <w:top w:val="single" w:color="auto" w:sz="4" w:space="0"/>
                    <w:left w:val="single" w:color="auto" w:sz="4" w:space="0"/>
                    <w:bottom w:val="single" w:color="auto" w:sz="4" w:space="0"/>
                    <w:right w:val="single" w:color="auto" w:sz="4" w:space="0"/>
                  </w:tcBorders>
                  <w:shd w:val="clear" w:color="auto" w:fill="auto"/>
                  <w:vAlign w:val="center"/>
                </w:tcPr>
                <w:p w14:paraId="1F7E620B">
                  <w:pPr>
                    <w:snapToGrid w:val="0"/>
                    <w:spacing w:line="0" w:lineRule="atLeast"/>
                    <w:jc w:val="center"/>
                    <w:rPr>
                      <w:b/>
                      <w:bCs/>
                      <w:color w:val="auto"/>
                      <w:szCs w:val="21"/>
                      <w:highlight w:val="none"/>
                    </w:rPr>
                  </w:pPr>
                  <w:r>
                    <w:rPr>
                      <w:b/>
                      <w:bCs/>
                      <w:color w:val="auto"/>
                      <w:szCs w:val="21"/>
                      <w:highlight w:val="none"/>
                    </w:rPr>
                    <w:t>X</w:t>
                  </w:r>
                </w:p>
              </w:tc>
              <w:tc>
                <w:tcPr>
                  <w:tcW w:w="469" w:type="dxa"/>
                  <w:tcBorders>
                    <w:top w:val="single" w:color="auto" w:sz="4" w:space="0"/>
                    <w:left w:val="single" w:color="auto" w:sz="4" w:space="0"/>
                    <w:bottom w:val="single" w:color="auto" w:sz="4" w:space="0"/>
                    <w:right w:val="single" w:color="auto" w:sz="4" w:space="0"/>
                  </w:tcBorders>
                  <w:shd w:val="clear" w:color="auto" w:fill="auto"/>
                  <w:vAlign w:val="center"/>
                </w:tcPr>
                <w:p w14:paraId="3CF04B60">
                  <w:pPr>
                    <w:snapToGrid w:val="0"/>
                    <w:spacing w:line="0" w:lineRule="atLeast"/>
                    <w:jc w:val="center"/>
                    <w:rPr>
                      <w:b/>
                      <w:bCs/>
                      <w:color w:val="auto"/>
                      <w:szCs w:val="21"/>
                      <w:highlight w:val="none"/>
                    </w:rPr>
                  </w:pPr>
                  <w:r>
                    <w:rPr>
                      <w:b/>
                      <w:bCs/>
                      <w:color w:val="auto"/>
                      <w:szCs w:val="21"/>
                      <w:highlight w:val="none"/>
                    </w:rPr>
                    <w:t>Y</w:t>
                  </w:r>
                </w:p>
              </w:tc>
              <w:tc>
                <w:tcPr>
                  <w:tcW w:w="800" w:type="dxa"/>
                  <w:vMerge w:val="continue"/>
                  <w:tcBorders>
                    <w:left w:val="single" w:color="auto" w:sz="4" w:space="0"/>
                    <w:bottom w:val="single" w:color="auto" w:sz="4" w:space="0"/>
                    <w:right w:val="single" w:color="auto" w:sz="4" w:space="0"/>
                  </w:tcBorders>
                  <w:shd w:val="clear" w:color="auto" w:fill="auto"/>
                  <w:vAlign w:val="center"/>
                </w:tcPr>
                <w:p w14:paraId="4202A553">
                  <w:pPr>
                    <w:snapToGrid w:val="0"/>
                    <w:spacing w:line="0" w:lineRule="atLeast"/>
                    <w:jc w:val="center"/>
                    <w:rPr>
                      <w:b/>
                      <w:bCs/>
                      <w:color w:val="auto"/>
                      <w:szCs w:val="21"/>
                      <w:highlight w:val="none"/>
                    </w:rPr>
                  </w:pPr>
                </w:p>
              </w:tc>
              <w:tc>
                <w:tcPr>
                  <w:tcW w:w="1217" w:type="dxa"/>
                  <w:vMerge w:val="continue"/>
                  <w:tcBorders>
                    <w:left w:val="single" w:color="auto" w:sz="4" w:space="0"/>
                    <w:bottom w:val="single" w:color="auto" w:sz="4" w:space="0"/>
                    <w:right w:val="single" w:color="auto" w:sz="4" w:space="0"/>
                  </w:tcBorders>
                  <w:shd w:val="clear" w:color="auto" w:fill="auto"/>
                  <w:vAlign w:val="center"/>
                </w:tcPr>
                <w:p w14:paraId="2B340770">
                  <w:pPr>
                    <w:snapToGrid w:val="0"/>
                    <w:spacing w:line="0" w:lineRule="atLeast"/>
                    <w:jc w:val="center"/>
                    <w:rPr>
                      <w:b/>
                      <w:bCs/>
                      <w:color w:val="auto"/>
                      <w:szCs w:val="21"/>
                      <w:highlight w:val="none"/>
                    </w:rPr>
                  </w:pPr>
                </w:p>
              </w:tc>
              <w:tc>
                <w:tcPr>
                  <w:tcW w:w="946" w:type="dxa"/>
                  <w:vMerge w:val="continue"/>
                  <w:tcBorders>
                    <w:left w:val="single" w:color="auto" w:sz="4" w:space="0"/>
                    <w:bottom w:val="single" w:color="auto" w:sz="4" w:space="0"/>
                    <w:right w:val="single" w:color="auto" w:sz="4" w:space="0"/>
                  </w:tcBorders>
                  <w:shd w:val="clear" w:color="auto" w:fill="auto"/>
                  <w:vAlign w:val="center"/>
                </w:tcPr>
                <w:p w14:paraId="39FA6DC1">
                  <w:pPr>
                    <w:snapToGrid w:val="0"/>
                    <w:spacing w:line="0" w:lineRule="atLeast"/>
                    <w:jc w:val="center"/>
                    <w:rPr>
                      <w:b/>
                      <w:bCs/>
                      <w:color w:val="auto"/>
                      <w:szCs w:val="21"/>
                      <w:highlight w:val="none"/>
                    </w:rPr>
                  </w:pPr>
                </w:p>
              </w:tc>
              <w:tc>
                <w:tcPr>
                  <w:tcW w:w="1176" w:type="dxa"/>
                  <w:vMerge w:val="continue"/>
                  <w:tcBorders>
                    <w:left w:val="single" w:color="auto" w:sz="4" w:space="0"/>
                    <w:bottom w:val="single" w:color="auto" w:sz="4" w:space="0"/>
                    <w:right w:val="single" w:color="auto" w:sz="4" w:space="0"/>
                  </w:tcBorders>
                  <w:shd w:val="clear" w:color="auto" w:fill="auto"/>
                  <w:vAlign w:val="center"/>
                </w:tcPr>
                <w:p w14:paraId="389CAC83">
                  <w:pPr>
                    <w:snapToGrid w:val="0"/>
                    <w:spacing w:line="0" w:lineRule="atLeast"/>
                    <w:jc w:val="center"/>
                    <w:rPr>
                      <w:b/>
                      <w:bCs/>
                      <w:color w:val="auto"/>
                      <w:szCs w:val="21"/>
                      <w:highlight w:val="none"/>
                    </w:rPr>
                  </w:pPr>
                </w:p>
              </w:tc>
              <w:tc>
                <w:tcPr>
                  <w:tcW w:w="893" w:type="dxa"/>
                  <w:vMerge w:val="continue"/>
                  <w:tcBorders>
                    <w:left w:val="single" w:color="auto" w:sz="4" w:space="0"/>
                    <w:bottom w:val="single" w:color="auto" w:sz="4" w:space="0"/>
                    <w:right w:val="single" w:color="auto" w:sz="4" w:space="0"/>
                  </w:tcBorders>
                  <w:shd w:val="clear" w:color="auto" w:fill="auto"/>
                  <w:vAlign w:val="center"/>
                </w:tcPr>
                <w:p w14:paraId="468C7596">
                  <w:pPr>
                    <w:snapToGrid w:val="0"/>
                    <w:spacing w:line="0" w:lineRule="atLeast"/>
                    <w:jc w:val="center"/>
                    <w:rPr>
                      <w:b/>
                      <w:bCs/>
                      <w:color w:val="auto"/>
                      <w:szCs w:val="21"/>
                      <w:highlight w:val="none"/>
                    </w:rPr>
                  </w:pPr>
                </w:p>
              </w:tc>
              <w:tc>
                <w:tcPr>
                  <w:tcW w:w="986" w:type="dxa"/>
                  <w:vMerge w:val="continue"/>
                  <w:tcBorders>
                    <w:left w:val="single" w:color="auto" w:sz="4" w:space="0"/>
                    <w:bottom w:val="single" w:color="auto" w:sz="4" w:space="0"/>
                    <w:right w:val="single" w:color="auto" w:sz="4" w:space="0"/>
                  </w:tcBorders>
                  <w:shd w:val="clear" w:color="auto" w:fill="auto"/>
                  <w:vAlign w:val="center"/>
                </w:tcPr>
                <w:p w14:paraId="3CE358E0">
                  <w:pPr>
                    <w:snapToGrid w:val="0"/>
                    <w:spacing w:line="0" w:lineRule="atLeast"/>
                    <w:jc w:val="center"/>
                    <w:rPr>
                      <w:b/>
                      <w:bCs/>
                      <w:color w:val="auto"/>
                      <w:szCs w:val="21"/>
                      <w:highlight w:val="none"/>
                    </w:rPr>
                  </w:pPr>
                </w:p>
              </w:tc>
              <w:tc>
                <w:tcPr>
                  <w:tcW w:w="761" w:type="dxa"/>
                  <w:vMerge w:val="continue"/>
                  <w:tcBorders>
                    <w:left w:val="single" w:color="auto" w:sz="4" w:space="0"/>
                    <w:bottom w:val="single" w:color="auto" w:sz="4" w:space="0"/>
                    <w:right w:val="single" w:color="auto" w:sz="4" w:space="0"/>
                  </w:tcBorders>
                  <w:shd w:val="clear" w:color="auto" w:fill="auto"/>
                  <w:vAlign w:val="center"/>
                </w:tcPr>
                <w:p w14:paraId="127B3A1F">
                  <w:pPr>
                    <w:snapToGrid w:val="0"/>
                    <w:spacing w:line="0" w:lineRule="atLeast"/>
                    <w:jc w:val="center"/>
                    <w:rPr>
                      <w:b/>
                      <w:bCs/>
                      <w:color w:val="auto"/>
                      <w:szCs w:val="21"/>
                      <w:highlight w:val="none"/>
                    </w:rPr>
                  </w:pPr>
                </w:p>
              </w:tc>
            </w:tr>
            <w:tr w14:paraId="2D30A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restart"/>
                  <w:tcBorders>
                    <w:top w:val="single" w:color="auto" w:sz="4" w:space="0"/>
                    <w:left w:val="single" w:color="auto" w:sz="4" w:space="0"/>
                    <w:right w:val="single" w:color="auto" w:sz="4" w:space="0"/>
                  </w:tcBorders>
                  <w:shd w:val="clear" w:color="auto" w:fill="auto"/>
                  <w:vAlign w:val="center"/>
                </w:tcPr>
                <w:p w14:paraId="0BAF92CB">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小榄</w:t>
                  </w:r>
                  <w:r>
                    <w:rPr>
                      <w:rFonts w:ascii="Times New Roman" w:hAnsi="Times New Roman" w:eastAsia="宋体" w:cs="Times New Roman"/>
                      <w:color w:val="auto"/>
                      <w:szCs w:val="21"/>
                      <w:highlight w:val="none"/>
                    </w:rPr>
                    <w:t>镇监测站</w:t>
                  </w:r>
                </w:p>
              </w:tc>
              <w:tc>
                <w:tcPr>
                  <w:tcW w:w="800" w:type="dxa"/>
                  <w:vMerge w:val="restart"/>
                  <w:tcBorders>
                    <w:top w:val="single" w:color="auto" w:sz="4" w:space="0"/>
                    <w:left w:val="single" w:color="auto" w:sz="4" w:space="0"/>
                    <w:right w:val="single" w:color="auto" w:sz="4" w:space="0"/>
                  </w:tcBorders>
                  <w:shd w:val="clear" w:color="auto" w:fill="auto"/>
                  <w:vAlign w:val="center"/>
                </w:tcPr>
                <w:p w14:paraId="3730954C">
                  <w:pPr>
                    <w:jc w:val="center"/>
                    <w:rPr>
                      <w:rFonts w:ascii="Times New Roman" w:hAnsi="Times New Roman" w:eastAsia="宋体" w:cs="Times New Roman"/>
                      <w:color w:val="auto"/>
                      <w:szCs w:val="21"/>
                      <w:highlight w:val="none"/>
                    </w:rPr>
                  </w:pPr>
                  <w:r>
                    <w:rPr>
                      <w:color w:val="auto"/>
                      <w:szCs w:val="21"/>
                      <w:highlight w:val="none"/>
                    </w:rPr>
                    <w:t>SO</w:t>
                  </w:r>
                  <w:r>
                    <w:rPr>
                      <w:color w:val="auto"/>
                      <w:szCs w:val="21"/>
                      <w:highlight w:val="none"/>
                      <w:vertAlign w:val="subscript"/>
                    </w:rPr>
                    <w:t>2</w:t>
                  </w:r>
                </w:p>
              </w:tc>
              <w:tc>
                <w:tcPr>
                  <w:tcW w:w="1217" w:type="dxa"/>
                  <w:tcBorders>
                    <w:top w:val="single" w:color="auto" w:sz="4" w:space="0"/>
                    <w:left w:val="single" w:color="auto" w:sz="4" w:space="0"/>
                    <w:right w:val="single" w:color="auto" w:sz="4" w:space="0"/>
                  </w:tcBorders>
                  <w:shd w:val="clear" w:color="auto" w:fill="auto"/>
                  <w:vAlign w:val="center"/>
                </w:tcPr>
                <w:p w14:paraId="7EBEC19C">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24小时平均第98百分位数</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14:paraId="29EE43FB">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150</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14:paraId="556A36E1">
                  <w:pPr>
                    <w:pStyle w:val="88"/>
                    <w:ind w:firstLine="2"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1</w:t>
                  </w:r>
                  <w:r>
                    <w:rPr>
                      <w:rFonts w:hint="eastAsia" w:hAnsi="Times New Roman" w:cs="Times New Roman"/>
                      <w:color w:val="auto"/>
                      <w:highlight w:val="none"/>
                      <w:lang w:val="en-US" w:eastAsia="zh-CN"/>
                    </w:rPr>
                    <w:t>5</w:t>
                  </w:r>
                </w:p>
              </w:tc>
              <w:tc>
                <w:tcPr>
                  <w:tcW w:w="893" w:type="dxa"/>
                  <w:tcBorders>
                    <w:top w:val="single" w:color="auto" w:sz="4" w:space="0"/>
                    <w:left w:val="single" w:color="auto" w:sz="4" w:space="0"/>
                    <w:bottom w:val="single" w:color="auto" w:sz="4" w:space="0"/>
                    <w:right w:val="single" w:color="auto" w:sz="4" w:space="0"/>
                  </w:tcBorders>
                  <w:shd w:val="clear" w:color="auto" w:fill="auto"/>
                  <w:vAlign w:val="center"/>
                </w:tcPr>
                <w:p w14:paraId="3D144C25">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r>
                    <w:rPr>
                      <w:rFonts w:hint="eastAsia" w:cs="Times New Roman"/>
                      <w:color w:val="auto"/>
                      <w:szCs w:val="21"/>
                      <w:highlight w:val="none"/>
                      <w:lang w:val="en-US" w:eastAsia="zh-CN"/>
                    </w:rPr>
                    <w:t>0.7</w:t>
                  </w:r>
                </w:p>
              </w:tc>
              <w:tc>
                <w:tcPr>
                  <w:tcW w:w="986" w:type="dxa"/>
                  <w:tcBorders>
                    <w:top w:val="single" w:color="auto" w:sz="4" w:space="0"/>
                    <w:left w:val="single" w:color="auto" w:sz="4" w:space="0"/>
                    <w:right w:val="single" w:color="auto" w:sz="4" w:space="0"/>
                  </w:tcBorders>
                  <w:shd w:val="clear" w:color="auto" w:fill="auto"/>
                  <w:vAlign w:val="center"/>
                </w:tcPr>
                <w:p w14:paraId="70BF989E">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0</w:t>
                  </w:r>
                </w:p>
              </w:tc>
              <w:tc>
                <w:tcPr>
                  <w:tcW w:w="761" w:type="dxa"/>
                  <w:tcBorders>
                    <w:top w:val="single" w:color="auto" w:sz="4" w:space="0"/>
                    <w:left w:val="single" w:color="auto" w:sz="4" w:space="0"/>
                    <w:bottom w:val="single" w:color="auto" w:sz="4" w:space="0"/>
                    <w:right w:val="single" w:color="auto" w:sz="4" w:space="0"/>
                  </w:tcBorders>
                  <w:shd w:val="clear" w:color="auto" w:fill="auto"/>
                  <w:vAlign w:val="center"/>
                </w:tcPr>
                <w:p w14:paraId="6DD52AD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1AAA1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4F40DAC3">
                  <w:pPr>
                    <w:jc w:val="center"/>
                    <w:rPr>
                      <w:rFonts w:ascii="Times New Roman" w:hAnsi="Times New Roman" w:eastAsia="宋体" w:cs="Times New Roman"/>
                      <w:color w:val="auto"/>
                      <w:szCs w:val="21"/>
                      <w:highlight w:val="none"/>
                    </w:rPr>
                  </w:pPr>
                </w:p>
              </w:tc>
              <w:tc>
                <w:tcPr>
                  <w:tcW w:w="800" w:type="dxa"/>
                  <w:vMerge w:val="continue"/>
                  <w:tcBorders>
                    <w:left w:val="single" w:color="auto" w:sz="4" w:space="0"/>
                    <w:right w:val="single" w:color="auto" w:sz="4" w:space="0"/>
                  </w:tcBorders>
                  <w:shd w:val="clear" w:color="auto" w:fill="auto"/>
                  <w:vAlign w:val="center"/>
                </w:tcPr>
                <w:p w14:paraId="71A5133C">
                  <w:pPr>
                    <w:jc w:val="center"/>
                    <w:rPr>
                      <w:rFonts w:ascii="Times New Roman" w:hAnsi="Times New Roman" w:eastAsia="宋体" w:cs="Times New Roman"/>
                      <w:color w:val="auto"/>
                      <w:szCs w:val="21"/>
                      <w:highlight w:val="none"/>
                    </w:rPr>
                  </w:pPr>
                </w:p>
              </w:tc>
              <w:tc>
                <w:tcPr>
                  <w:tcW w:w="1217" w:type="dxa"/>
                  <w:tcBorders>
                    <w:left w:val="single" w:color="auto" w:sz="4" w:space="0"/>
                    <w:right w:val="single" w:color="auto" w:sz="4" w:space="0"/>
                  </w:tcBorders>
                  <w:shd w:val="clear" w:color="auto" w:fill="auto"/>
                  <w:vAlign w:val="center"/>
                </w:tcPr>
                <w:p w14:paraId="2C215206">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年平均</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14:paraId="6F8E246A">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60</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14:paraId="66F0FF93">
                  <w:pPr>
                    <w:pStyle w:val="88"/>
                    <w:ind w:firstLine="2" w:firstLineChars="0"/>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highlight w:val="none"/>
                      <w:lang w:val="en-US" w:eastAsia="zh-CN"/>
                    </w:rPr>
                    <w:t>7.6</w:t>
                  </w:r>
                </w:p>
              </w:tc>
              <w:tc>
                <w:tcPr>
                  <w:tcW w:w="893" w:type="dxa"/>
                  <w:tcBorders>
                    <w:top w:val="single" w:color="auto" w:sz="4" w:space="0"/>
                    <w:left w:val="single" w:color="auto" w:sz="4" w:space="0"/>
                    <w:bottom w:val="single" w:color="auto" w:sz="4" w:space="0"/>
                    <w:right w:val="single" w:color="auto" w:sz="4" w:space="0"/>
                  </w:tcBorders>
                  <w:shd w:val="clear" w:color="auto" w:fill="auto"/>
                  <w:vAlign w:val="center"/>
                </w:tcPr>
                <w:p w14:paraId="5C810751">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986" w:type="dxa"/>
                  <w:tcBorders>
                    <w:left w:val="single" w:color="auto" w:sz="4" w:space="0"/>
                    <w:bottom w:val="single" w:color="auto" w:sz="4" w:space="0"/>
                    <w:right w:val="single" w:color="auto" w:sz="4" w:space="0"/>
                  </w:tcBorders>
                  <w:shd w:val="clear" w:color="auto" w:fill="auto"/>
                  <w:vAlign w:val="center"/>
                </w:tcPr>
                <w:p w14:paraId="13DBF5B7">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w:t>
                  </w:r>
                </w:p>
              </w:tc>
              <w:tc>
                <w:tcPr>
                  <w:tcW w:w="761" w:type="dxa"/>
                  <w:tcBorders>
                    <w:top w:val="single" w:color="auto" w:sz="4" w:space="0"/>
                    <w:left w:val="single" w:color="auto" w:sz="4" w:space="0"/>
                    <w:bottom w:val="single" w:color="auto" w:sz="4" w:space="0"/>
                    <w:right w:val="single" w:color="auto" w:sz="4" w:space="0"/>
                  </w:tcBorders>
                  <w:shd w:val="clear" w:color="auto" w:fill="auto"/>
                  <w:vAlign w:val="center"/>
                </w:tcPr>
                <w:p w14:paraId="739FD2B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71855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4B39C9C9">
                  <w:pPr>
                    <w:jc w:val="center"/>
                    <w:rPr>
                      <w:rFonts w:ascii="Times New Roman" w:hAnsi="Times New Roman" w:eastAsia="宋体" w:cs="Times New Roman"/>
                      <w:color w:val="auto"/>
                      <w:szCs w:val="21"/>
                      <w:highlight w:val="none"/>
                    </w:rPr>
                  </w:pPr>
                </w:p>
              </w:tc>
              <w:tc>
                <w:tcPr>
                  <w:tcW w:w="800" w:type="dxa"/>
                  <w:vMerge w:val="restart"/>
                  <w:tcBorders>
                    <w:left w:val="single" w:color="auto" w:sz="4" w:space="0"/>
                    <w:right w:val="single" w:color="auto" w:sz="4" w:space="0"/>
                  </w:tcBorders>
                  <w:shd w:val="clear" w:color="auto" w:fill="auto"/>
                  <w:vAlign w:val="center"/>
                </w:tcPr>
                <w:p w14:paraId="49326D74">
                  <w:pPr>
                    <w:jc w:val="center"/>
                    <w:rPr>
                      <w:rFonts w:ascii="Times New Roman" w:hAnsi="Times New Roman" w:eastAsia="宋体" w:cs="Times New Roman"/>
                      <w:color w:val="auto"/>
                      <w:szCs w:val="21"/>
                      <w:highlight w:val="none"/>
                    </w:rPr>
                  </w:pPr>
                  <w:r>
                    <w:rPr>
                      <w:color w:val="auto"/>
                      <w:szCs w:val="21"/>
                      <w:highlight w:val="none"/>
                    </w:rPr>
                    <w:t>NO</w:t>
                  </w:r>
                  <w:r>
                    <w:rPr>
                      <w:color w:val="auto"/>
                      <w:szCs w:val="21"/>
                      <w:highlight w:val="none"/>
                      <w:vertAlign w:val="subscript"/>
                    </w:rPr>
                    <w:t>2</w:t>
                  </w:r>
                </w:p>
              </w:tc>
              <w:tc>
                <w:tcPr>
                  <w:tcW w:w="1217" w:type="dxa"/>
                  <w:tcBorders>
                    <w:left w:val="single" w:color="auto" w:sz="4" w:space="0"/>
                    <w:right w:val="single" w:color="auto" w:sz="4" w:space="0"/>
                  </w:tcBorders>
                  <w:shd w:val="clear" w:color="auto" w:fill="auto"/>
                  <w:vAlign w:val="center"/>
                </w:tcPr>
                <w:p w14:paraId="4354073C">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24小时平均第98百分位数</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14:paraId="337BEDCD">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80</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14:paraId="17F7CDCE">
                  <w:pPr>
                    <w:pStyle w:val="88"/>
                    <w:ind w:firstLine="2" w:firstLineChars="0"/>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highlight w:val="none"/>
                      <w:lang w:val="en-US" w:eastAsia="zh-CN"/>
                    </w:rPr>
                    <w:t>74</w:t>
                  </w:r>
                </w:p>
              </w:tc>
              <w:tc>
                <w:tcPr>
                  <w:tcW w:w="893" w:type="dxa"/>
                  <w:tcBorders>
                    <w:top w:val="single" w:color="auto" w:sz="4" w:space="0"/>
                    <w:left w:val="single" w:color="auto" w:sz="4" w:space="0"/>
                    <w:bottom w:val="single" w:color="auto" w:sz="4" w:space="0"/>
                    <w:right w:val="single" w:color="auto" w:sz="4" w:space="0"/>
                  </w:tcBorders>
                  <w:shd w:val="clear" w:color="auto" w:fill="auto"/>
                  <w:vAlign w:val="center"/>
                </w:tcPr>
                <w:p w14:paraId="3A7EAF2A">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135</w:t>
                  </w:r>
                </w:p>
              </w:tc>
              <w:tc>
                <w:tcPr>
                  <w:tcW w:w="986" w:type="dxa"/>
                  <w:tcBorders>
                    <w:top w:val="single" w:color="auto" w:sz="4" w:space="0"/>
                    <w:left w:val="single" w:color="auto" w:sz="4" w:space="0"/>
                    <w:right w:val="single" w:color="auto" w:sz="4" w:space="0"/>
                  </w:tcBorders>
                  <w:shd w:val="clear" w:color="auto" w:fill="auto"/>
                  <w:vAlign w:val="center"/>
                </w:tcPr>
                <w:p w14:paraId="2A9A87D5">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bCs/>
                      <w:color w:val="auto"/>
                      <w:szCs w:val="21"/>
                      <w:highlight w:val="none"/>
                      <w:lang w:val="en-US" w:eastAsia="zh-CN"/>
                    </w:rPr>
                    <w:t>1.64</w:t>
                  </w:r>
                </w:p>
              </w:tc>
              <w:tc>
                <w:tcPr>
                  <w:tcW w:w="761" w:type="dxa"/>
                  <w:tcBorders>
                    <w:top w:val="single" w:color="auto" w:sz="4" w:space="0"/>
                    <w:left w:val="single" w:color="auto" w:sz="4" w:space="0"/>
                    <w:right w:val="single" w:color="auto" w:sz="4" w:space="0"/>
                  </w:tcBorders>
                  <w:shd w:val="clear" w:color="auto" w:fill="auto"/>
                  <w:vAlign w:val="center"/>
                </w:tcPr>
                <w:p w14:paraId="131FE42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2CF70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7D846367">
                  <w:pPr>
                    <w:jc w:val="center"/>
                    <w:rPr>
                      <w:rFonts w:ascii="Times New Roman" w:hAnsi="Times New Roman" w:eastAsia="宋体" w:cs="Times New Roman"/>
                      <w:color w:val="auto"/>
                      <w:szCs w:val="21"/>
                      <w:highlight w:val="none"/>
                    </w:rPr>
                  </w:pPr>
                </w:p>
              </w:tc>
              <w:tc>
                <w:tcPr>
                  <w:tcW w:w="800" w:type="dxa"/>
                  <w:vMerge w:val="continue"/>
                  <w:tcBorders>
                    <w:left w:val="single" w:color="auto" w:sz="4" w:space="0"/>
                    <w:right w:val="single" w:color="auto" w:sz="4" w:space="0"/>
                  </w:tcBorders>
                  <w:shd w:val="clear" w:color="auto" w:fill="auto"/>
                  <w:vAlign w:val="center"/>
                </w:tcPr>
                <w:p w14:paraId="17B82C10">
                  <w:pPr>
                    <w:jc w:val="center"/>
                    <w:rPr>
                      <w:rFonts w:ascii="Times New Roman" w:hAnsi="Times New Roman" w:eastAsia="宋体" w:cs="Times New Roman"/>
                      <w:color w:val="auto"/>
                      <w:szCs w:val="21"/>
                      <w:highlight w:val="none"/>
                    </w:rPr>
                  </w:pPr>
                </w:p>
              </w:tc>
              <w:tc>
                <w:tcPr>
                  <w:tcW w:w="1217" w:type="dxa"/>
                  <w:tcBorders>
                    <w:left w:val="single" w:color="auto" w:sz="4" w:space="0"/>
                    <w:right w:val="single" w:color="auto" w:sz="4" w:space="0"/>
                  </w:tcBorders>
                  <w:shd w:val="clear" w:color="auto" w:fill="auto"/>
                  <w:vAlign w:val="center"/>
                </w:tcPr>
                <w:p w14:paraId="342096A8">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年平均</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14:paraId="2C3CD4CF">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40</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14:paraId="7F226CB2">
                  <w:pPr>
                    <w:pStyle w:val="88"/>
                    <w:ind w:firstLine="2"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3</w:t>
                  </w:r>
                  <w:r>
                    <w:rPr>
                      <w:rFonts w:hint="eastAsia" w:hAnsi="Times New Roman" w:cs="Times New Roman"/>
                      <w:color w:val="auto"/>
                      <w:highlight w:val="none"/>
                      <w:lang w:val="en-US" w:eastAsia="zh-CN"/>
                    </w:rPr>
                    <w:t>0.3</w:t>
                  </w:r>
                </w:p>
              </w:tc>
              <w:tc>
                <w:tcPr>
                  <w:tcW w:w="893" w:type="dxa"/>
                  <w:tcBorders>
                    <w:top w:val="single" w:color="auto" w:sz="4" w:space="0"/>
                    <w:left w:val="single" w:color="auto" w:sz="4" w:space="0"/>
                    <w:bottom w:val="single" w:color="auto" w:sz="4" w:space="0"/>
                    <w:right w:val="single" w:color="auto" w:sz="4" w:space="0"/>
                  </w:tcBorders>
                  <w:shd w:val="clear" w:color="auto" w:fill="auto"/>
                  <w:vAlign w:val="center"/>
                </w:tcPr>
                <w:p w14:paraId="72C12C93">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986" w:type="dxa"/>
                  <w:tcBorders>
                    <w:left w:val="single" w:color="auto" w:sz="4" w:space="0"/>
                    <w:bottom w:val="single" w:color="auto" w:sz="4" w:space="0"/>
                    <w:right w:val="single" w:color="auto" w:sz="4" w:space="0"/>
                  </w:tcBorders>
                  <w:shd w:val="clear" w:color="auto" w:fill="auto"/>
                  <w:vAlign w:val="center"/>
                </w:tcPr>
                <w:p w14:paraId="6AEDD197">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w:t>
                  </w:r>
                </w:p>
              </w:tc>
              <w:tc>
                <w:tcPr>
                  <w:tcW w:w="761" w:type="dxa"/>
                  <w:tcBorders>
                    <w:left w:val="single" w:color="auto" w:sz="4" w:space="0"/>
                    <w:bottom w:val="single" w:color="auto" w:sz="4" w:space="0"/>
                    <w:right w:val="single" w:color="auto" w:sz="4" w:space="0"/>
                  </w:tcBorders>
                  <w:shd w:val="clear" w:color="auto" w:fill="auto"/>
                  <w:vAlign w:val="center"/>
                </w:tcPr>
                <w:p w14:paraId="634AC88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79DE2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1A3387E7">
                  <w:pPr>
                    <w:jc w:val="center"/>
                    <w:rPr>
                      <w:rFonts w:ascii="Times New Roman" w:hAnsi="Times New Roman" w:eastAsia="宋体" w:cs="Times New Roman"/>
                      <w:color w:val="auto"/>
                      <w:szCs w:val="21"/>
                      <w:highlight w:val="none"/>
                    </w:rPr>
                  </w:pPr>
                </w:p>
              </w:tc>
              <w:tc>
                <w:tcPr>
                  <w:tcW w:w="800" w:type="dxa"/>
                  <w:vMerge w:val="restart"/>
                  <w:tcBorders>
                    <w:left w:val="single" w:color="auto" w:sz="4" w:space="0"/>
                    <w:right w:val="single" w:color="auto" w:sz="4" w:space="0"/>
                  </w:tcBorders>
                  <w:shd w:val="clear" w:color="auto" w:fill="auto"/>
                  <w:vAlign w:val="center"/>
                </w:tcPr>
                <w:p w14:paraId="3E2A5035">
                  <w:pPr>
                    <w:jc w:val="center"/>
                    <w:rPr>
                      <w:rFonts w:ascii="Times New Roman" w:hAnsi="Times New Roman" w:eastAsia="宋体" w:cs="Times New Roman"/>
                      <w:color w:val="auto"/>
                      <w:szCs w:val="21"/>
                      <w:highlight w:val="none"/>
                    </w:rPr>
                  </w:pPr>
                  <w:r>
                    <w:rPr>
                      <w:color w:val="auto"/>
                      <w:szCs w:val="21"/>
                      <w:highlight w:val="none"/>
                    </w:rPr>
                    <w:t>PM</w:t>
                  </w:r>
                  <w:r>
                    <w:rPr>
                      <w:color w:val="auto"/>
                      <w:szCs w:val="21"/>
                      <w:highlight w:val="none"/>
                      <w:vertAlign w:val="subscript"/>
                    </w:rPr>
                    <w:t>10</w:t>
                  </w:r>
                </w:p>
              </w:tc>
              <w:tc>
                <w:tcPr>
                  <w:tcW w:w="1217" w:type="dxa"/>
                  <w:tcBorders>
                    <w:left w:val="single" w:color="auto" w:sz="4" w:space="0"/>
                    <w:right w:val="single" w:color="auto" w:sz="4" w:space="0"/>
                  </w:tcBorders>
                  <w:shd w:val="clear" w:color="auto" w:fill="auto"/>
                  <w:vAlign w:val="center"/>
                </w:tcPr>
                <w:p w14:paraId="68BEB48F">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24小时平均第95百分位数</w:t>
                  </w:r>
                </w:p>
              </w:tc>
              <w:tc>
                <w:tcPr>
                  <w:tcW w:w="946" w:type="dxa"/>
                  <w:tcBorders>
                    <w:top w:val="single" w:color="auto" w:sz="4" w:space="0"/>
                    <w:left w:val="single" w:color="auto" w:sz="4" w:space="0"/>
                    <w:right w:val="single" w:color="auto" w:sz="4" w:space="0"/>
                  </w:tcBorders>
                  <w:shd w:val="clear" w:color="auto" w:fill="auto"/>
                  <w:vAlign w:val="center"/>
                </w:tcPr>
                <w:p w14:paraId="604DDC8F">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150</w:t>
                  </w:r>
                </w:p>
              </w:tc>
              <w:tc>
                <w:tcPr>
                  <w:tcW w:w="1176" w:type="dxa"/>
                  <w:tcBorders>
                    <w:top w:val="single" w:color="auto" w:sz="4" w:space="0"/>
                    <w:left w:val="single" w:color="auto" w:sz="4" w:space="0"/>
                    <w:right w:val="single" w:color="auto" w:sz="4" w:space="0"/>
                  </w:tcBorders>
                  <w:shd w:val="clear" w:color="auto" w:fill="auto"/>
                  <w:vAlign w:val="center"/>
                </w:tcPr>
                <w:p w14:paraId="67CAB6C0">
                  <w:pPr>
                    <w:pStyle w:val="88"/>
                    <w:ind w:firstLine="2" w:firstLineChars="0"/>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highlight w:val="none"/>
                      <w:lang w:val="en-US" w:eastAsia="zh-CN"/>
                    </w:rPr>
                    <w:t>89</w:t>
                  </w:r>
                </w:p>
              </w:tc>
              <w:tc>
                <w:tcPr>
                  <w:tcW w:w="893" w:type="dxa"/>
                  <w:tcBorders>
                    <w:top w:val="single" w:color="auto" w:sz="4" w:space="0"/>
                    <w:left w:val="single" w:color="auto" w:sz="4" w:space="0"/>
                    <w:right w:val="single" w:color="auto" w:sz="4" w:space="0"/>
                  </w:tcBorders>
                  <w:shd w:val="clear" w:color="auto" w:fill="auto"/>
                  <w:vAlign w:val="center"/>
                </w:tcPr>
                <w:p w14:paraId="3FE93C10">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109.3</w:t>
                  </w:r>
                </w:p>
              </w:tc>
              <w:tc>
                <w:tcPr>
                  <w:tcW w:w="986" w:type="dxa"/>
                  <w:tcBorders>
                    <w:top w:val="single" w:color="auto" w:sz="4" w:space="0"/>
                    <w:left w:val="single" w:color="auto" w:sz="4" w:space="0"/>
                    <w:right w:val="single" w:color="auto" w:sz="4" w:space="0"/>
                  </w:tcBorders>
                  <w:shd w:val="clear" w:color="auto" w:fill="auto"/>
                  <w:vAlign w:val="center"/>
                </w:tcPr>
                <w:p w14:paraId="5E9CC98C">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0.</w:t>
                  </w:r>
                  <w:r>
                    <w:rPr>
                      <w:rFonts w:hint="eastAsia" w:cs="Times New Roman"/>
                      <w:bCs/>
                      <w:color w:val="auto"/>
                      <w:szCs w:val="21"/>
                      <w:highlight w:val="none"/>
                      <w:lang w:val="en-US" w:eastAsia="zh-CN"/>
                    </w:rPr>
                    <w:t>27</w:t>
                  </w:r>
                </w:p>
              </w:tc>
              <w:tc>
                <w:tcPr>
                  <w:tcW w:w="761" w:type="dxa"/>
                  <w:tcBorders>
                    <w:top w:val="single" w:color="auto" w:sz="4" w:space="0"/>
                    <w:left w:val="single" w:color="auto" w:sz="4" w:space="0"/>
                    <w:right w:val="single" w:color="auto" w:sz="4" w:space="0"/>
                  </w:tcBorders>
                  <w:shd w:val="clear" w:color="auto" w:fill="auto"/>
                  <w:vAlign w:val="center"/>
                </w:tcPr>
                <w:p w14:paraId="2DDC848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213E7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23104F54">
                  <w:pPr>
                    <w:jc w:val="center"/>
                    <w:rPr>
                      <w:rFonts w:ascii="Times New Roman" w:hAnsi="Times New Roman" w:eastAsia="宋体" w:cs="Times New Roman"/>
                      <w:color w:val="auto"/>
                      <w:szCs w:val="21"/>
                      <w:highlight w:val="none"/>
                    </w:rPr>
                  </w:pPr>
                </w:p>
              </w:tc>
              <w:tc>
                <w:tcPr>
                  <w:tcW w:w="800" w:type="dxa"/>
                  <w:vMerge w:val="continue"/>
                  <w:tcBorders>
                    <w:left w:val="single" w:color="auto" w:sz="4" w:space="0"/>
                    <w:right w:val="single" w:color="auto" w:sz="4" w:space="0"/>
                  </w:tcBorders>
                  <w:shd w:val="clear" w:color="auto" w:fill="auto"/>
                  <w:vAlign w:val="center"/>
                </w:tcPr>
                <w:p w14:paraId="1F12F9BD">
                  <w:pPr>
                    <w:jc w:val="center"/>
                    <w:rPr>
                      <w:rFonts w:ascii="Times New Roman" w:hAnsi="Times New Roman" w:eastAsia="宋体" w:cs="Times New Roman"/>
                      <w:color w:val="auto"/>
                      <w:szCs w:val="21"/>
                      <w:highlight w:val="none"/>
                    </w:rPr>
                  </w:pPr>
                </w:p>
              </w:tc>
              <w:tc>
                <w:tcPr>
                  <w:tcW w:w="1217" w:type="dxa"/>
                  <w:tcBorders>
                    <w:left w:val="single" w:color="auto" w:sz="4" w:space="0"/>
                    <w:right w:val="single" w:color="auto" w:sz="4" w:space="0"/>
                  </w:tcBorders>
                  <w:shd w:val="clear" w:color="auto" w:fill="auto"/>
                  <w:vAlign w:val="center"/>
                </w:tcPr>
                <w:p w14:paraId="69052857">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年平均</w:t>
                  </w:r>
                </w:p>
              </w:tc>
              <w:tc>
                <w:tcPr>
                  <w:tcW w:w="946" w:type="dxa"/>
                  <w:tcBorders>
                    <w:top w:val="single" w:color="auto" w:sz="4" w:space="0"/>
                    <w:left w:val="single" w:color="auto" w:sz="4" w:space="0"/>
                    <w:right w:val="single" w:color="auto" w:sz="4" w:space="0"/>
                  </w:tcBorders>
                  <w:shd w:val="clear" w:color="auto" w:fill="auto"/>
                  <w:vAlign w:val="center"/>
                </w:tcPr>
                <w:p w14:paraId="6B90F0BA">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70</w:t>
                  </w:r>
                </w:p>
              </w:tc>
              <w:tc>
                <w:tcPr>
                  <w:tcW w:w="1176" w:type="dxa"/>
                  <w:tcBorders>
                    <w:top w:val="single" w:color="auto" w:sz="4" w:space="0"/>
                    <w:left w:val="single" w:color="auto" w:sz="4" w:space="0"/>
                    <w:right w:val="single" w:color="auto" w:sz="4" w:space="0"/>
                  </w:tcBorders>
                  <w:shd w:val="clear" w:color="auto" w:fill="auto"/>
                  <w:vAlign w:val="center"/>
                </w:tcPr>
                <w:p w14:paraId="67A01AEF">
                  <w:pPr>
                    <w:pStyle w:val="88"/>
                    <w:ind w:firstLine="2" w:firstLineChars="0"/>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highlight w:val="none"/>
                      <w:lang w:val="en-US" w:eastAsia="zh-CN"/>
                    </w:rPr>
                    <w:t>46.8</w:t>
                  </w:r>
                </w:p>
              </w:tc>
              <w:tc>
                <w:tcPr>
                  <w:tcW w:w="893" w:type="dxa"/>
                  <w:tcBorders>
                    <w:top w:val="single" w:color="auto" w:sz="4" w:space="0"/>
                    <w:left w:val="single" w:color="auto" w:sz="4" w:space="0"/>
                    <w:right w:val="single" w:color="auto" w:sz="4" w:space="0"/>
                  </w:tcBorders>
                  <w:shd w:val="clear" w:color="auto" w:fill="auto"/>
                  <w:vAlign w:val="center"/>
                </w:tcPr>
                <w:p w14:paraId="3F1823AC">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986" w:type="dxa"/>
                  <w:tcBorders>
                    <w:left w:val="single" w:color="auto" w:sz="4" w:space="0"/>
                    <w:right w:val="single" w:color="auto" w:sz="4" w:space="0"/>
                  </w:tcBorders>
                  <w:shd w:val="clear" w:color="auto" w:fill="auto"/>
                  <w:vAlign w:val="center"/>
                </w:tcPr>
                <w:p w14:paraId="63EC664F">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w:t>
                  </w:r>
                </w:p>
              </w:tc>
              <w:tc>
                <w:tcPr>
                  <w:tcW w:w="761" w:type="dxa"/>
                  <w:tcBorders>
                    <w:top w:val="single" w:color="auto" w:sz="4" w:space="0"/>
                    <w:left w:val="single" w:color="auto" w:sz="4" w:space="0"/>
                    <w:right w:val="single" w:color="auto" w:sz="4" w:space="0"/>
                  </w:tcBorders>
                  <w:shd w:val="clear" w:color="auto" w:fill="auto"/>
                  <w:vAlign w:val="center"/>
                </w:tcPr>
                <w:p w14:paraId="36D2EFA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66D7B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2EE81F04">
                  <w:pPr>
                    <w:jc w:val="center"/>
                    <w:rPr>
                      <w:rFonts w:ascii="Times New Roman" w:hAnsi="Times New Roman" w:eastAsia="宋体" w:cs="Times New Roman"/>
                      <w:color w:val="auto"/>
                      <w:szCs w:val="21"/>
                      <w:highlight w:val="none"/>
                    </w:rPr>
                  </w:pPr>
                </w:p>
              </w:tc>
              <w:tc>
                <w:tcPr>
                  <w:tcW w:w="800" w:type="dxa"/>
                  <w:vMerge w:val="restart"/>
                  <w:tcBorders>
                    <w:left w:val="single" w:color="auto" w:sz="4" w:space="0"/>
                    <w:right w:val="single" w:color="auto" w:sz="4" w:space="0"/>
                  </w:tcBorders>
                  <w:shd w:val="clear" w:color="auto" w:fill="auto"/>
                  <w:vAlign w:val="center"/>
                </w:tcPr>
                <w:p w14:paraId="71DFE252">
                  <w:pPr>
                    <w:jc w:val="center"/>
                    <w:rPr>
                      <w:rFonts w:ascii="Times New Roman" w:hAnsi="Times New Roman" w:eastAsia="宋体" w:cs="Times New Roman"/>
                      <w:color w:val="auto"/>
                      <w:szCs w:val="21"/>
                      <w:highlight w:val="none"/>
                    </w:rPr>
                  </w:pPr>
                  <w:r>
                    <w:rPr>
                      <w:color w:val="auto"/>
                      <w:szCs w:val="21"/>
                      <w:highlight w:val="none"/>
                    </w:rPr>
                    <w:t>PM</w:t>
                  </w:r>
                  <w:r>
                    <w:rPr>
                      <w:color w:val="auto"/>
                      <w:szCs w:val="21"/>
                      <w:highlight w:val="none"/>
                      <w:vertAlign w:val="subscript"/>
                    </w:rPr>
                    <w:t>2.5</w:t>
                  </w:r>
                </w:p>
              </w:tc>
              <w:tc>
                <w:tcPr>
                  <w:tcW w:w="1217" w:type="dxa"/>
                  <w:tcBorders>
                    <w:left w:val="single" w:color="auto" w:sz="4" w:space="0"/>
                    <w:right w:val="single" w:color="auto" w:sz="4" w:space="0"/>
                  </w:tcBorders>
                  <w:shd w:val="clear" w:color="auto" w:fill="auto"/>
                  <w:vAlign w:val="center"/>
                </w:tcPr>
                <w:p w14:paraId="7CE956C2">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24小时平均第95百分位数</w:t>
                  </w:r>
                </w:p>
              </w:tc>
              <w:tc>
                <w:tcPr>
                  <w:tcW w:w="946" w:type="dxa"/>
                  <w:tcBorders>
                    <w:top w:val="single" w:color="auto" w:sz="4" w:space="0"/>
                    <w:left w:val="single" w:color="auto" w:sz="4" w:space="0"/>
                    <w:right w:val="single" w:color="auto" w:sz="4" w:space="0"/>
                  </w:tcBorders>
                  <w:shd w:val="clear" w:color="auto" w:fill="auto"/>
                  <w:vAlign w:val="center"/>
                </w:tcPr>
                <w:p w14:paraId="1755510B">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75</w:t>
                  </w:r>
                </w:p>
              </w:tc>
              <w:tc>
                <w:tcPr>
                  <w:tcW w:w="1176" w:type="dxa"/>
                  <w:tcBorders>
                    <w:top w:val="single" w:color="auto" w:sz="4" w:space="0"/>
                    <w:left w:val="single" w:color="auto" w:sz="4" w:space="0"/>
                    <w:right w:val="single" w:color="auto" w:sz="4" w:space="0"/>
                  </w:tcBorders>
                  <w:shd w:val="clear" w:color="auto" w:fill="auto"/>
                  <w:vAlign w:val="center"/>
                </w:tcPr>
                <w:p w14:paraId="1347EAEF">
                  <w:pPr>
                    <w:pStyle w:val="88"/>
                    <w:ind w:firstLine="2" w:firstLineChars="0"/>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highlight w:val="none"/>
                      <w:lang w:val="en-US" w:eastAsia="zh-CN"/>
                    </w:rPr>
                    <w:t>46</w:t>
                  </w:r>
                </w:p>
              </w:tc>
              <w:tc>
                <w:tcPr>
                  <w:tcW w:w="893" w:type="dxa"/>
                  <w:tcBorders>
                    <w:top w:val="single" w:color="auto" w:sz="4" w:space="0"/>
                    <w:left w:val="single" w:color="auto" w:sz="4" w:space="0"/>
                    <w:right w:val="single" w:color="auto" w:sz="4" w:space="0"/>
                  </w:tcBorders>
                  <w:shd w:val="clear" w:color="auto" w:fill="auto"/>
                  <w:vAlign w:val="center"/>
                </w:tcPr>
                <w:p w14:paraId="5663EFB3">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101.3</w:t>
                  </w:r>
                </w:p>
              </w:tc>
              <w:tc>
                <w:tcPr>
                  <w:tcW w:w="986" w:type="dxa"/>
                  <w:tcBorders>
                    <w:top w:val="single" w:color="auto" w:sz="4" w:space="0"/>
                    <w:left w:val="single" w:color="auto" w:sz="4" w:space="0"/>
                    <w:right w:val="single" w:color="auto" w:sz="4" w:space="0"/>
                  </w:tcBorders>
                  <w:shd w:val="clear" w:color="auto" w:fill="auto"/>
                  <w:vAlign w:val="center"/>
                </w:tcPr>
                <w:p w14:paraId="264EC377">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0</w:t>
                  </w:r>
                  <w:r>
                    <w:rPr>
                      <w:rFonts w:hint="eastAsia" w:cs="Times New Roman"/>
                      <w:bCs/>
                      <w:color w:val="auto"/>
                      <w:szCs w:val="21"/>
                      <w:highlight w:val="none"/>
                      <w:lang w:val="en-US" w:eastAsia="zh-CN"/>
                    </w:rPr>
                    <w:t>.27</w:t>
                  </w:r>
                </w:p>
              </w:tc>
              <w:tc>
                <w:tcPr>
                  <w:tcW w:w="761" w:type="dxa"/>
                  <w:tcBorders>
                    <w:top w:val="single" w:color="auto" w:sz="4" w:space="0"/>
                    <w:left w:val="single" w:color="auto" w:sz="4" w:space="0"/>
                    <w:right w:val="single" w:color="auto" w:sz="4" w:space="0"/>
                  </w:tcBorders>
                  <w:shd w:val="clear" w:color="auto" w:fill="auto"/>
                  <w:vAlign w:val="center"/>
                </w:tcPr>
                <w:p w14:paraId="0908CE4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01CC3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3ED3B0B5">
                  <w:pPr>
                    <w:jc w:val="center"/>
                    <w:rPr>
                      <w:rFonts w:ascii="Times New Roman" w:hAnsi="Times New Roman" w:eastAsia="宋体" w:cs="Times New Roman"/>
                      <w:color w:val="auto"/>
                      <w:szCs w:val="21"/>
                      <w:highlight w:val="none"/>
                    </w:rPr>
                  </w:pPr>
                </w:p>
              </w:tc>
              <w:tc>
                <w:tcPr>
                  <w:tcW w:w="800" w:type="dxa"/>
                  <w:vMerge w:val="continue"/>
                  <w:tcBorders>
                    <w:left w:val="single" w:color="auto" w:sz="4" w:space="0"/>
                    <w:right w:val="single" w:color="auto" w:sz="4" w:space="0"/>
                  </w:tcBorders>
                  <w:shd w:val="clear" w:color="auto" w:fill="auto"/>
                  <w:vAlign w:val="center"/>
                </w:tcPr>
                <w:p w14:paraId="5CFFC5F7">
                  <w:pPr>
                    <w:jc w:val="center"/>
                    <w:rPr>
                      <w:rFonts w:ascii="Times New Roman" w:hAnsi="Times New Roman" w:eastAsia="宋体" w:cs="Times New Roman"/>
                      <w:color w:val="auto"/>
                      <w:szCs w:val="21"/>
                      <w:highlight w:val="none"/>
                    </w:rPr>
                  </w:pPr>
                </w:p>
              </w:tc>
              <w:tc>
                <w:tcPr>
                  <w:tcW w:w="1217" w:type="dxa"/>
                  <w:tcBorders>
                    <w:left w:val="single" w:color="auto" w:sz="4" w:space="0"/>
                    <w:right w:val="single" w:color="auto" w:sz="4" w:space="0"/>
                  </w:tcBorders>
                  <w:shd w:val="clear" w:color="auto" w:fill="auto"/>
                  <w:vAlign w:val="center"/>
                </w:tcPr>
                <w:p w14:paraId="003C7CDB">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年平均</w:t>
                  </w:r>
                </w:p>
              </w:tc>
              <w:tc>
                <w:tcPr>
                  <w:tcW w:w="946" w:type="dxa"/>
                  <w:tcBorders>
                    <w:top w:val="single" w:color="auto" w:sz="4" w:space="0"/>
                    <w:left w:val="single" w:color="auto" w:sz="4" w:space="0"/>
                    <w:right w:val="single" w:color="auto" w:sz="4" w:space="0"/>
                  </w:tcBorders>
                  <w:shd w:val="clear" w:color="auto" w:fill="auto"/>
                  <w:vAlign w:val="center"/>
                </w:tcPr>
                <w:p w14:paraId="5A57CB3D">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35</w:t>
                  </w:r>
                </w:p>
              </w:tc>
              <w:tc>
                <w:tcPr>
                  <w:tcW w:w="1176" w:type="dxa"/>
                  <w:tcBorders>
                    <w:top w:val="single" w:color="auto" w:sz="4" w:space="0"/>
                    <w:left w:val="single" w:color="auto" w:sz="4" w:space="0"/>
                    <w:right w:val="single" w:color="auto" w:sz="4" w:space="0"/>
                  </w:tcBorders>
                  <w:shd w:val="clear" w:color="auto" w:fill="auto"/>
                  <w:vAlign w:val="center"/>
                </w:tcPr>
                <w:p w14:paraId="3FF7EE5D">
                  <w:pPr>
                    <w:pStyle w:val="88"/>
                    <w:ind w:firstLine="2"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2</w:t>
                  </w:r>
                  <w:r>
                    <w:rPr>
                      <w:rFonts w:hint="eastAsia" w:hAnsi="Times New Roman" w:cs="Times New Roman"/>
                      <w:color w:val="auto"/>
                      <w:highlight w:val="none"/>
                      <w:lang w:val="en-US" w:eastAsia="zh-CN"/>
                    </w:rPr>
                    <w:t>2.1</w:t>
                  </w:r>
                </w:p>
              </w:tc>
              <w:tc>
                <w:tcPr>
                  <w:tcW w:w="893" w:type="dxa"/>
                  <w:tcBorders>
                    <w:top w:val="single" w:color="auto" w:sz="4" w:space="0"/>
                    <w:left w:val="single" w:color="auto" w:sz="4" w:space="0"/>
                    <w:right w:val="single" w:color="auto" w:sz="4" w:space="0"/>
                  </w:tcBorders>
                  <w:shd w:val="clear" w:color="auto" w:fill="auto"/>
                  <w:vAlign w:val="center"/>
                </w:tcPr>
                <w:p w14:paraId="22B9E005">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986" w:type="dxa"/>
                  <w:tcBorders>
                    <w:left w:val="single" w:color="auto" w:sz="4" w:space="0"/>
                    <w:right w:val="single" w:color="auto" w:sz="4" w:space="0"/>
                  </w:tcBorders>
                  <w:shd w:val="clear" w:color="auto" w:fill="auto"/>
                  <w:vAlign w:val="center"/>
                </w:tcPr>
                <w:p w14:paraId="4E38E013">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w:t>
                  </w:r>
                </w:p>
              </w:tc>
              <w:tc>
                <w:tcPr>
                  <w:tcW w:w="761" w:type="dxa"/>
                  <w:tcBorders>
                    <w:top w:val="single" w:color="auto" w:sz="4" w:space="0"/>
                    <w:left w:val="single" w:color="auto" w:sz="4" w:space="0"/>
                    <w:right w:val="single" w:color="auto" w:sz="4" w:space="0"/>
                  </w:tcBorders>
                  <w:shd w:val="clear" w:color="auto" w:fill="auto"/>
                  <w:vAlign w:val="center"/>
                </w:tcPr>
                <w:p w14:paraId="607A95A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r w14:paraId="62179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3F6E0D19">
                  <w:pPr>
                    <w:jc w:val="center"/>
                    <w:rPr>
                      <w:rFonts w:ascii="Times New Roman" w:hAnsi="Times New Roman" w:eastAsia="宋体" w:cs="Times New Roman"/>
                      <w:color w:val="auto"/>
                      <w:szCs w:val="21"/>
                      <w:highlight w:val="none"/>
                    </w:rPr>
                  </w:pPr>
                </w:p>
              </w:tc>
              <w:tc>
                <w:tcPr>
                  <w:tcW w:w="800" w:type="dxa"/>
                  <w:tcBorders>
                    <w:left w:val="single" w:color="auto" w:sz="4" w:space="0"/>
                    <w:right w:val="single" w:color="auto" w:sz="4" w:space="0"/>
                  </w:tcBorders>
                  <w:shd w:val="clear" w:color="auto" w:fill="auto"/>
                  <w:vAlign w:val="center"/>
                </w:tcPr>
                <w:p w14:paraId="72EECEB9">
                  <w:pPr>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O</w:t>
                  </w:r>
                  <w:r>
                    <w:rPr>
                      <w:color w:val="auto"/>
                      <w:szCs w:val="21"/>
                      <w:highlight w:val="none"/>
                      <w:vertAlign w:val="subscript"/>
                    </w:rPr>
                    <w:t>3</w:t>
                  </w:r>
                </w:p>
              </w:tc>
              <w:tc>
                <w:tcPr>
                  <w:tcW w:w="1217" w:type="dxa"/>
                  <w:tcBorders>
                    <w:left w:val="single" w:color="auto" w:sz="4" w:space="0"/>
                    <w:right w:val="single" w:color="auto" w:sz="4" w:space="0"/>
                  </w:tcBorders>
                  <w:shd w:val="clear" w:color="auto" w:fill="auto"/>
                  <w:vAlign w:val="center"/>
                </w:tcPr>
                <w:p w14:paraId="2C02ABCE">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8小时平均第90百分位数</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14:paraId="065EF744">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160</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14:paraId="3225ABBE">
                  <w:pPr>
                    <w:pStyle w:val="88"/>
                    <w:ind w:firstLine="2"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1</w:t>
                  </w:r>
                  <w:r>
                    <w:rPr>
                      <w:rFonts w:hint="eastAsia" w:hAnsi="Times New Roman" w:cs="Times New Roman"/>
                      <w:color w:val="auto"/>
                      <w:highlight w:val="none"/>
                      <w:lang w:val="en-US" w:eastAsia="zh-CN"/>
                    </w:rPr>
                    <w:t>80</w:t>
                  </w:r>
                </w:p>
              </w:tc>
              <w:tc>
                <w:tcPr>
                  <w:tcW w:w="893" w:type="dxa"/>
                  <w:tcBorders>
                    <w:top w:val="single" w:color="auto" w:sz="4" w:space="0"/>
                    <w:left w:val="single" w:color="auto" w:sz="4" w:space="0"/>
                    <w:bottom w:val="single" w:color="auto" w:sz="4" w:space="0"/>
                    <w:right w:val="single" w:color="auto" w:sz="4" w:space="0"/>
                  </w:tcBorders>
                  <w:shd w:val="clear" w:color="auto" w:fill="auto"/>
                  <w:vAlign w:val="center"/>
                </w:tcPr>
                <w:p w14:paraId="3611DE96">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r>
                    <w:rPr>
                      <w:rFonts w:hint="eastAsia" w:cs="Times New Roman"/>
                      <w:color w:val="auto"/>
                      <w:szCs w:val="21"/>
                      <w:highlight w:val="none"/>
                      <w:lang w:val="en-US" w:eastAsia="zh-CN"/>
                    </w:rPr>
                    <w:t>70.6</w:t>
                  </w:r>
                </w:p>
              </w:tc>
              <w:tc>
                <w:tcPr>
                  <w:tcW w:w="986" w:type="dxa"/>
                  <w:tcBorders>
                    <w:left w:val="single" w:color="auto" w:sz="4" w:space="0"/>
                    <w:bottom w:val="single" w:color="auto" w:sz="4" w:space="0"/>
                    <w:right w:val="single" w:color="auto" w:sz="4" w:space="0"/>
                  </w:tcBorders>
                  <w:shd w:val="clear" w:color="auto" w:fill="auto"/>
                  <w:vAlign w:val="center"/>
                </w:tcPr>
                <w:p w14:paraId="4F41B81B">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1</w:t>
                  </w:r>
                  <w:r>
                    <w:rPr>
                      <w:rFonts w:hint="eastAsia" w:cs="Times New Roman"/>
                      <w:bCs/>
                      <w:color w:val="auto"/>
                      <w:szCs w:val="21"/>
                      <w:highlight w:val="none"/>
                      <w:lang w:val="en-US" w:eastAsia="zh-CN"/>
                    </w:rPr>
                    <w:t>6.99</w:t>
                  </w:r>
                </w:p>
              </w:tc>
              <w:tc>
                <w:tcPr>
                  <w:tcW w:w="761" w:type="dxa"/>
                  <w:tcBorders>
                    <w:left w:val="single" w:color="auto" w:sz="4" w:space="0"/>
                    <w:bottom w:val="single" w:color="auto" w:sz="4" w:space="0"/>
                    <w:right w:val="single" w:color="auto" w:sz="4" w:space="0"/>
                  </w:tcBorders>
                  <w:shd w:val="clear" w:color="auto" w:fill="auto"/>
                  <w:vAlign w:val="center"/>
                </w:tcPr>
                <w:p w14:paraId="47EFD3B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超标</w:t>
                  </w:r>
                </w:p>
              </w:tc>
            </w:tr>
            <w:tr w14:paraId="772D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31" w:type="dxa"/>
                  <w:gridSpan w:val="3"/>
                  <w:vMerge w:val="continue"/>
                  <w:tcBorders>
                    <w:left w:val="single" w:color="auto" w:sz="4" w:space="0"/>
                    <w:right w:val="single" w:color="auto" w:sz="4" w:space="0"/>
                  </w:tcBorders>
                  <w:shd w:val="clear" w:color="auto" w:fill="auto"/>
                  <w:vAlign w:val="center"/>
                </w:tcPr>
                <w:p w14:paraId="241AB7FA">
                  <w:pPr>
                    <w:jc w:val="center"/>
                    <w:rPr>
                      <w:rFonts w:ascii="Times New Roman" w:hAnsi="Times New Roman" w:eastAsia="宋体" w:cs="Times New Roman"/>
                      <w:color w:val="auto"/>
                      <w:szCs w:val="21"/>
                      <w:highlight w:val="none"/>
                    </w:rPr>
                  </w:pPr>
                </w:p>
              </w:tc>
              <w:tc>
                <w:tcPr>
                  <w:tcW w:w="800" w:type="dxa"/>
                  <w:tcBorders>
                    <w:left w:val="single" w:color="auto" w:sz="4" w:space="0"/>
                    <w:right w:val="single" w:color="auto" w:sz="4" w:space="0"/>
                  </w:tcBorders>
                  <w:shd w:val="clear" w:color="auto" w:fill="auto"/>
                  <w:vAlign w:val="center"/>
                </w:tcPr>
                <w:p w14:paraId="1189E0F9">
                  <w:pPr>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CO</w:t>
                  </w:r>
                </w:p>
              </w:tc>
              <w:tc>
                <w:tcPr>
                  <w:tcW w:w="1217" w:type="dxa"/>
                  <w:tcBorders>
                    <w:left w:val="single" w:color="auto" w:sz="4" w:space="0"/>
                    <w:right w:val="single" w:color="auto" w:sz="4" w:space="0"/>
                  </w:tcBorders>
                  <w:shd w:val="clear" w:color="auto" w:fill="auto"/>
                  <w:vAlign w:val="center"/>
                </w:tcPr>
                <w:p w14:paraId="18D82A2B">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24小时平均第95百分位数</w:t>
                  </w:r>
                </w:p>
              </w:tc>
              <w:tc>
                <w:tcPr>
                  <w:tcW w:w="946" w:type="dxa"/>
                  <w:tcBorders>
                    <w:top w:val="single" w:color="auto" w:sz="4" w:space="0"/>
                    <w:left w:val="single" w:color="auto" w:sz="4" w:space="0"/>
                    <w:bottom w:val="single" w:color="auto" w:sz="4" w:space="0"/>
                    <w:right w:val="single" w:color="auto" w:sz="4" w:space="0"/>
                  </w:tcBorders>
                  <w:shd w:val="clear" w:color="auto" w:fill="auto"/>
                  <w:vAlign w:val="center"/>
                </w:tcPr>
                <w:p w14:paraId="3C493724">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4000</w:t>
                  </w:r>
                </w:p>
              </w:tc>
              <w:tc>
                <w:tcPr>
                  <w:tcW w:w="1176" w:type="dxa"/>
                  <w:tcBorders>
                    <w:top w:val="single" w:color="auto" w:sz="4" w:space="0"/>
                    <w:left w:val="single" w:color="auto" w:sz="4" w:space="0"/>
                    <w:bottom w:val="single" w:color="auto" w:sz="4" w:space="0"/>
                    <w:right w:val="single" w:color="auto" w:sz="4" w:space="0"/>
                  </w:tcBorders>
                  <w:shd w:val="clear" w:color="auto" w:fill="auto"/>
                  <w:vAlign w:val="center"/>
                </w:tcPr>
                <w:p w14:paraId="270033D6">
                  <w:pPr>
                    <w:pStyle w:val="88"/>
                    <w:ind w:firstLine="2"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lang w:val="en-US" w:eastAsia="zh-CN"/>
                    </w:rPr>
                    <w:t>1</w:t>
                  </w:r>
                  <w:r>
                    <w:rPr>
                      <w:rFonts w:hint="eastAsia" w:hAnsi="Times New Roman" w:cs="Times New Roman"/>
                      <w:color w:val="auto"/>
                      <w:highlight w:val="none"/>
                      <w:lang w:val="en-US" w:eastAsia="zh-CN"/>
                    </w:rPr>
                    <w:t>100</w:t>
                  </w:r>
                </w:p>
              </w:tc>
              <w:tc>
                <w:tcPr>
                  <w:tcW w:w="893" w:type="dxa"/>
                  <w:tcBorders>
                    <w:top w:val="single" w:color="auto" w:sz="4" w:space="0"/>
                    <w:left w:val="single" w:color="auto" w:sz="4" w:space="0"/>
                    <w:bottom w:val="single" w:color="auto" w:sz="4" w:space="0"/>
                    <w:right w:val="single" w:color="auto" w:sz="4" w:space="0"/>
                  </w:tcBorders>
                  <w:shd w:val="clear" w:color="auto" w:fill="auto"/>
                  <w:vAlign w:val="center"/>
                </w:tcPr>
                <w:p w14:paraId="7F96607C">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35</w:t>
                  </w:r>
                </w:p>
              </w:tc>
              <w:tc>
                <w:tcPr>
                  <w:tcW w:w="986" w:type="dxa"/>
                  <w:tcBorders>
                    <w:left w:val="single" w:color="auto" w:sz="4" w:space="0"/>
                    <w:right w:val="single" w:color="auto" w:sz="4" w:space="0"/>
                  </w:tcBorders>
                  <w:shd w:val="clear" w:color="auto" w:fill="auto"/>
                  <w:vAlign w:val="center"/>
                </w:tcPr>
                <w:p w14:paraId="7BC6B954">
                  <w:pPr>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bCs/>
                      <w:color w:val="auto"/>
                      <w:szCs w:val="21"/>
                      <w:highlight w:val="none"/>
                      <w:lang w:val="en-US" w:eastAsia="zh-CN"/>
                    </w:rPr>
                    <w:t>0</w:t>
                  </w:r>
                </w:p>
              </w:tc>
              <w:tc>
                <w:tcPr>
                  <w:tcW w:w="761" w:type="dxa"/>
                  <w:tcBorders>
                    <w:left w:val="single" w:color="auto" w:sz="4" w:space="0"/>
                    <w:right w:val="single" w:color="auto" w:sz="4" w:space="0"/>
                  </w:tcBorders>
                  <w:shd w:val="clear" w:color="auto" w:fill="auto"/>
                  <w:vAlign w:val="center"/>
                </w:tcPr>
                <w:p w14:paraId="661833F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达标</w:t>
                  </w:r>
                </w:p>
              </w:tc>
            </w:tr>
          </w:tbl>
          <w:p w14:paraId="46DDDE7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zh-CN"/>
              </w:rPr>
              <w:t>由表可知，SO</w:t>
            </w:r>
            <w:r>
              <w:rPr>
                <w:rFonts w:hint="default" w:ascii="Times New Roman" w:hAnsi="Times New Roman" w:cs="Times New Roman"/>
                <w:color w:val="auto"/>
                <w:sz w:val="24"/>
                <w:highlight w:val="none"/>
                <w:vertAlign w:val="subscript"/>
                <w:lang w:val="zh-CN"/>
              </w:rPr>
              <w:t>2</w:t>
            </w:r>
            <w:r>
              <w:rPr>
                <w:rFonts w:hint="default" w:ascii="Times New Roman" w:hAnsi="Times New Roman" w:cs="Times New Roman"/>
                <w:color w:val="auto"/>
                <w:sz w:val="24"/>
                <w:highlight w:val="none"/>
                <w:lang w:val="zh-CN"/>
              </w:rPr>
              <w:t>24小时平均第98百分位数及年平均浓度、NO</w:t>
            </w:r>
            <w:r>
              <w:rPr>
                <w:rFonts w:hint="default" w:ascii="Times New Roman" w:hAnsi="Times New Roman" w:cs="Times New Roman"/>
                <w:color w:val="auto"/>
                <w:sz w:val="24"/>
                <w:highlight w:val="none"/>
                <w:vertAlign w:val="subscript"/>
                <w:lang w:val="zh-CN"/>
              </w:rPr>
              <w:t>2</w:t>
            </w:r>
            <w:r>
              <w:rPr>
                <w:rFonts w:hint="default" w:ascii="Times New Roman" w:hAnsi="Times New Roman" w:cs="Times New Roman"/>
                <w:color w:val="auto"/>
                <w:sz w:val="24"/>
                <w:highlight w:val="none"/>
                <w:lang w:val="zh-CN"/>
              </w:rPr>
              <w:t>年平均浓度、PM</w:t>
            </w:r>
            <w:r>
              <w:rPr>
                <w:rFonts w:hint="default" w:ascii="Times New Roman" w:hAnsi="Times New Roman" w:cs="Times New Roman"/>
                <w:color w:val="auto"/>
                <w:sz w:val="24"/>
                <w:highlight w:val="none"/>
                <w:vertAlign w:val="subscript"/>
                <w:lang w:val="zh-CN"/>
              </w:rPr>
              <w:t>10</w:t>
            </w:r>
            <w:r>
              <w:rPr>
                <w:rFonts w:hint="default" w:ascii="Times New Roman" w:hAnsi="Times New Roman" w:cs="Times New Roman"/>
                <w:color w:val="auto"/>
                <w:sz w:val="24"/>
                <w:highlight w:val="none"/>
                <w:lang w:val="zh-CN"/>
              </w:rPr>
              <w:t>24小时平均第95百分位数及年平均浓度、PM</w:t>
            </w:r>
            <w:r>
              <w:rPr>
                <w:rFonts w:hint="default" w:ascii="Times New Roman" w:hAnsi="Times New Roman" w:cs="Times New Roman"/>
                <w:color w:val="auto"/>
                <w:sz w:val="24"/>
                <w:highlight w:val="none"/>
                <w:vertAlign w:val="subscript"/>
                <w:lang w:val="zh-CN"/>
              </w:rPr>
              <w:t>2.5</w:t>
            </w:r>
            <w:r>
              <w:rPr>
                <w:rFonts w:hint="default" w:ascii="Times New Roman" w:hAnsi="Times New Roman" w:cs="Times New Roman"/>
                <w:color w:val="auto"/>
                <w:sz w:val="24"/>
                <w:highlight w:val="none"/>
                <w:lang w:val="zh-CN"/>
              </w:rPr>
              <w:t>24小时平均第95百分位数及年平均浓度、CO24小时平均第95百分位数浓度达到《环境空气质量标准》（GB3095-2012）二级标准及2018年修改单，NO</w:t>
            </w:r>
            <w:r>
              <w:rPr>
                <w:rFonts w:hint="default" w:ascii="Times New Roman" w:hAnsi="Times New Roman" w:cs="Times New Roman"/>
                <w:color w:val="auto"/>
                <w:sz w:val="24"/>
                <w:highlight w:val="none"/>
                <w:vertAlign w:val="subscript"/>
                <w:lang w:val="zh-CN"/>
              </w:rPr>
              <w:t>2</w:t>
            </w:r>
            <w:r>
              <w:rPr>
                <w:rFonts w:hint="default" w:ascii="Times New Roman" w:hAnsi="Times New Roman" w:cs="Times New Roman"/>
                <w:color w:val="auto"/>
                <w:sz w:val="24"/>
                <w:highlight w:val="none"/>
                <w:lang w:val="zh-CN"/>
              </w:rPr>
              <w:t>24小时平均第98百分位数浓度达到《环境空气质量标准》（GB3095-2012）二级标准及2018年修改单，O</w:t>
            </w:r>
            <w:r>
              <w:rPr>
                <w:rFonts w:hint="default" w:ascii="Times New Roman" w:hAnsi="Times New Roman" w:cs="Times New Roman"/>
                <w:color w:val="auto"/>
                <w:sz w:val="24"/>
                <w:highlight w:val="none"/>
                <w:vertAlign w:val="subscript"/>
                <w:lang w:val="zh-CN"/>
              </w:rPr>
              <w:t>3</w:t>
            </w:r>
            <w:r>
              <w:rPr>
                <w:rFonts w:hint="default" w:ascii="Times New Roman" w:hAnsi="Times New Roman" w:cs="Times New Roman"/>
                <w:color w:val="auto"/>
                <w:sz w:val="24"/>
                <w:highlight w:val="none"/>
                <w:lang w:val="zh-CN"/>
              </w:rPr>
              <w:t>日最大8小时平均第90百分位数浓度超出《环境空气质量标准》（GB3095-2012）二级标准及2018年修改单</w:t>
            </w:r>
            <w:r>
              <w:rPr>
                <w:rFonts w:hint="default" w:ascii="Times New Roman" w:hAnsi="Times New Roman" w:cs="Times New Roman"/>
                <w:color w:val="auto"/>
                <w:sz w:val="24"/>
                <w:highlight w:val="none"/>
              </w:rPr>
              <w:t>。</w:t>
            </w:r>
          </w:p>
          <w:p w14:paraId="39CFCCFF">
            <w:pPr>
              <w:spacing w:line="360" w:lineRule="auto"/>
              <w:ind w:firstLine="480" w:firstLineChars="200"/>
              <w:rPr>
                <w:rFonts w:hint="default"/>
              </w:rPr>
            </w:pPr>
            <w:r>
              <w:rPr>
                <w:rFonts w:hint="eastAsia" w:ascii="宋体" w:hAnsi="宋体" w:cs="宋体"/>
                <w:color w:val="auto"/>
                <w:sz w:val="24"/>
              </w:rPr>
              <w:t>为持</w:t>
            </w:r>
            <w:r>
              <w:rPr>
                <w:color w:val="auto"/>
                <w:sz w:val="24"/>
              </w:rPr>
              <w:t>续改善中山市大气环境质量，中山市将切实做好各类污染源监督管理。一是对全市涉VOCs、工业锅炉及炉窑等企业进行巡查，督促企业落实大气污染防治措施；二是加强巡查建设工地、线性工程，督促施工单位严格落实“六个百分百”扬尘防治措施；三是抓好非道路移动机械监督执法现场要求施工负责人做好车辆检查及维护：四是加强对餐饮企业、流动烧烤摊贩以及露天焚烧的管控，严防露天焚烧秸秆、垃圾等行为发生：五是加强油站、油库监督管理，对全市加油站和储油库的油气回收装置等设施进行油气密闭性检查：六是加大人员投入强化重点区域交通疏导工作，减少拥堵：七是</w:t>
            </w:r>
            <w:r>
              <w:rPr>
                <w:rFonts w:hint="eastAsia" w:ascii="宋体" w:hAnsi="宋体" w:cs="宋体"/>
                <w:color w:val="auto"/>
                <w:sz w:val="24"/>
              </w:rPr>
              <w:t>联合交警部门开展柴油车路检工作，督促指导用车大户建立完善车辆使用台账。</w:t>
            </w:r>
          </w:p>
          <w:p w14:paraId="66DD6A84">
            <w:pPr>
              <w:spacing w:line="360" w:lineRule="auto"/>
              <w:ind w:firstLine="480" w:firstLineChars="200"/>
              <w:rPr>
                <w:color w:val="auto"/>
                <w:sz w:val="24"/>
                <w:highlight w:val="none"/>
              </w:rPr>
            </w:pPr>
            <w:r>
              <w:rPr>
                <w:color w:val="auto"/>
                <w:sz w:val="24"/>
                <w:highlight w:val="none"/>
              </w:rPr>
              <w:t>（3）其他污染物环境质量现状</w:t>
            </w:r>
          </w:p>
          <w:p w14:paraId="03F62043">
            <w:pPr>
              <w:spacing w:line="360" w:lineRule="auto"/>
              <w:ind w:firstLine="480" w:firstLineChars="200"/>
              <w:rPr>
                <w:rFonts w:hint="default" w:ascii="Times New Roman" w:hAnsi="Times New Roman" w:eastAsia="宋体" w:cs="Times New Roman"/>
                <w:color w:val="000000"/>
                <w:sz w:val="24"/>
                <w:highlight w:val="none"/>
                <w:lang w:val="zh-CN" w:eastAsia="zh-CN"/>
              </w:rPr>
            </w:pPr>
            <w:r>
              <w:rPr>
                <w:rFonts w:hint="default" w:ascii="Times New Roman" w:hAnsi="Times New Roman" w:cs="Times New Roman"/>
                <w:color w:val="000000"/>
                <w:sz w:val="24"/>
                <w:highlight w:val="none"/>
              </w:rPr>
              <w:t>本项目的特征因子</w:t>
            </w:r>
            <w:r>
              <w:rPr>
                <w:rFonts w:hint="default" w:ascii="Times New Roman" w:hAnsi="Times New Roman" w:cs="Times New Roman"/>
                <w:color w:val="000000"/>
                <w:sz w:val="24"/>
                <w:highlight w:val="none"/>
                <w:lang w:val="en-US" w:eastAsia="zh-CN"/>
              </w:rPr>
              <w:t>有非甲烷总烃、TVOC、苯乙烯、颗粒物、臭气浓度</w:t>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highlight w:val="none"/>
                <w:lang w:val="en-US" w:eastAsia="zh-CN"/>
              </w:rPr>
              <w:t>其中非甲烷总烃、TVOC、苯乙烯、臭气浓度</w:t>
            </w:r>
            <w:r>
              <w:rPr>
                <w:rFonts w:hint="default" w:ascii="Times New Roman" w:hAnsi="Times New Roman" w:eastAsia="宋体" w:cs="Times New Roman"/>
                <w:color w:val="000000"/>
                <w:sz w:val="24"/>
                <w:highlight w:val="none"/>
                <w:lang w:val="en-US" w:eastAsia="zh-CN"/>
              </w:rPr>
              <w:t>不属于《建设项目环境影响报告表编制技术指南（污染影响类）（试行）》中排放国家、地方环境空气质量标准中有标准限值要求的特征污染物</w:t>
            </w:r>
            <w:r>
              <w:rPr>
                <w:rFonts w:hint="default" w:ascii="Times New Roman" w:hAnsi="Times New Roman" w:cs="Times New Roman"/>
                <w:color w:val="000000"/>
                <w:sz w:val="24"/>
                <w:highlight w:val="none"/>
                <w:lang w:eastAsia="zh-CN"/>
              </w:rPr>
              <w:t>，</w:t>
            </w:r>
            <w:r>
              <w:rPr>
                <w:rFonts w:hint="default" w:ascii="Times New Roman" w:hAnsi="Times New Roman" w:eastAsia="宋体" w:cs="Times New Roman"/>
                <w:color w:val="000000"/>
                <w:sz w:val="24"/>
                <w:highlight w:val="none"/>
                <w:lang w:val="zh-CN"/>
              </w:rPr>
              <w:t>本项目仅对</w:t>
            </w:r>
            <w:r>
              <w:rPr>
                <w:rFonts w:hint="default" w:ascii="Times New Roman" w:hAnsi="Times New Roman" w:eastAsia="宋体" w:cs="Times New Roman"/>
                <w:color w:val="000000"/>
                <w:sz w:val="24"/>
                <w:highlight w:val="none"/>
                <w:lang w:val="zh-CN" w:eastAsia="zh-CN"/>
              </w:rPr>
              <w:t>TSP进行现状调查。</w:t>
            </w:r>
          </w:p>
          <w:p w14:paraId="3C068993">
            <w:pPr>
              <w:spacing w:line="360" w:lineRule="auto"/>
              <w:ind w:firstLine="480" w:firstLineChars="200"/>
              <w:rPr>
                <w:rFonts w:hint="default" w:ascii="Times New Roman" w:hAnsi="Times New Roman" w:cs="Times New Roman"/>
                <w:color w:val="000000"/>
                <w:sz w:val="24"/>
                <w:highlight w:val="none"/>
              </w:rPr>
            </w:pPr>
            <w:r>
              <w:rPr>
                <w:rFonts w:hint="eastAsia"/>
                <w:color w:val="auto"/>
                <w:sz w:val="24"/>
                <w:lang w:val="zh-CN"/>
              </w:rPr>
              <w:t>（</w:t>
            </w:r>
            <w:r>
              <w:rPr>
                <w:rFonts w:hint="eastAsia"/>
                <w:color w:val="auto"/>
                <w:sz w:val="24"/>
                <w:lang w:val="en-US" w:eastAsia="zh-CN"/>
              </w:rPr>
              <w:t>4）</w:t>
            </w:r>
            <w:r>
              <w:rPr>
                <w:rFonts w:hint="default" w:ascii="Times New Roman" w:hAnsi="Times New Roman" w:cs="Times New Roman"/>
                <w:color w:val="000000"/>
                <w:sz w:val="24"/>
                <w:highlight w:val="none"/>
              </w:rPr>
              <w:t>补充污染物环境质量现状评价</w:t>
            </w:r>
          </w:p>
          <w:p w14:paraId="7C1B0F50">
            <w:pPr>
              <w:spacing w:line="360" w:lineRule="auto"/>
              <w:ind w:firstLine="480" w:firstLineChars="200"/>
              <w:rPr>
                <w:rFonts w:hint="default" w:ascii="Times New Roman" w:hAnsi="Times New Roman" w:cs="Times New Roman"/>
                <w:color w:val="000000"/>
                <w:sz w:val="24"/>
                <w:highlight w:val="none"/>
                <w:lang w:val="zh-CN"/>
              </w:rPr>
            </w:pPr>
            <w:bookmarkStart w:id="6" w:name="_Hlk79415924"/>
            <w:bookmarkStart w:id="7" w:name="_Hlk67070226"/>
            <w:r>
              <w:rPr>
                <w:rFonts w:hint="default" w:ascii="Times New Roman" w:hAnsi="Times New Roman" w:cs="Times New Roman"/>
                <w:color w:val="000000"/>
                <w:sz w:val="24"/>
                <w:highlight w:val="none"/>
                <w:lang w:val="zh-CN"/>
              </w:rPr>
              <w:t>本项目</w:t>
            </w:r>
            <w:r>
              <w:rPr>
                <w:rFonts w:hint="default" w:ascii="Times New Roman" w:hAnsi="Times New Roman" w:cs="Times New Roman"/>
                <w:color w:val="000000"/>
                <w:sz w:val="24"/>
                <w:highlight w:val="none"/>
              </w:rPr>
              <w:t>TSP引用</w:t>
            </w:r>
            <w:bookmarkEnd w:id="6"/>
            <w:r>
              <w:rPr>
                <w:rFonts w:hint="default" w:ascii="Times New Roman" w:hAnsi="Times New Roman" w:cs="Times New Roman"/>
                <w:color w:val="000000"/>
                <w:sz w:val="24"/>
                <w:highlight w:val="none"/>
              </w:rPr>
              <w:t>《中山市瑞帆塑料制品有限公司新建项目环境质量现状监测》</w:t>
            </w:r>
            <w:r>
              <w:rPr>
                <w:rFonts w:hint="default" w:ascii="Times New Roman" w:hAnsi="Times New Roman" w:cs="Times New Roman"/>
                <w:color w:val="000000"/>
                <w:sz w:val="24"/>
                <w:highlight w:val="none"/>
                <w:lang w:val="zh-CN"/>
              </w:rPr>
              <w:t>的环境影响评价检测数据</w:t>
            </w:r>
            <w:bookmarkEnd w:id="7"/>
            <w:r>
              <w:rPr>
                <w:rFonts w:hint="default" w:ascii="Times New Roman" w:hAnsi="Times New Roman" w:cs="Times New Roman"/>
                <w:color w:val="000000"/>
                <w:sz w:val="24"/>
                <w:highlight w:val="none"/>
                <w:lang w:val="zh-CN"/>
              </w:rPr>
              <w:t>，由</w:t>
            </w:r>
            <w:r>
              <w:rPr>
                <w:rFonts w:hint="default" w:ascii="Times New Roman" w:hAnsi="Times New Roman" w:cs="Times New Roman"/>
                <w:color w:val="000000"/>
                <w:sz w:val="24"/>
                <w:highlight w:val="none"/>
                <w:lang w:val="en-US" w:eastAsia="zh-CN"/>
              </w:rPr>
              <w:t>深圳市宗兴环保科技有限公司</w:t>
            </w:r>
            <w:r>
              <w:rPr>
                <w:rFonts w:hint="default" w:ascii="Times New Roman" w:hAnsi="Times New Roman" w:cs="Times New Roman"/>
                <w:color w:val="000000"/>
                <w:sz w:val="24"/>
                <w:highlight w:val="none"/>
                <w:lang w:val="zh-CN"/>
              </w:rPr>
              <w:t>于20</w:t>
            </w:r>
            <w:r>
              <w:rPr>
                <w:rFonts w:hint="default" w:ascii="Times New Roman" w:hAnsi="Times New Roman" w:cs="Times New Roman"/>
                <w:color w:val="000000"/>
                <w:sz w:val="24"/>
                <w:highlight w:val="none"/>
              </w:rPr>
              <w:t>22</w:t>
            </w:r>
            <w:r>
              <w:rPr>
                <w:rFonts w:hint="default" w:ascii="Times New Roman" w:hAnsi="Times New Roman" w:cs="Times New Roman"/>
                <w:color w:val="000000"/>
                <w:sz w:val="24"/>
                <w:highlight w:val="none"/>
                <w:lang w:val="zh-CN"/>
              </w:rPr>
              <w:t>年</w:t>
            </w:r>
            <w:r>
              <w:rPr>
                <w:rFonts w:hint="default" w:ascii="Times New Roman" w:hAnsi="Times New Roman" w:cs="Times New Roman"/>
                <w:color w:val="000000"/>
                <w:sz w:val="24"/>
                <w:highlight w:val="none"/>
                <w:lang w:val="en-US" w:eastAsia="zh-CN"/>
              </w:rPr>
              <w:t>4</w:t>
            </w:r>
            <w:r>
              <w:rPr>
                <w:rFonts w:hint="default" w:ascii="Times New Roman" w:hAnsi="Times New Roman" w:cs="Times New Roman"/>
                <w:color w:val="000000"/>
                <w:sz w:val="24"/>
                <w:highlight w:val="none"/>
                <w:lang w:val="zh-CN"/>
              </w:rPr>
              <w:t>月</w:t>
            </w:r>
            <w:r>
              <w:rPr>
                <w:rFonts w:hint="default" w:ascii="Times New Roman" w:hAnsi="Times New Roman" w:cs="Times New Roman"/>
                <w:color w:val="000000"/>
                <w:sz w:val="24"/>
                <w:highlight w:val="none"/>
                <w:lang w:val="en-US" w:eastAsia="zh-CN"/>
              </w:rPr>
              <w:t>20</w:t>
            </w:r>
            <w:r>
              <w:rPr>
                <w:rFonts w:hint="default" w:ascii="Times New Roman" w:hAnsi="Times New Roman" w:cs="Times New Roman"/>
                <w:color w:val="000000"/>
                <w:sz w:val="24"/>
                <w:highlight w:val="none"/>
                <w:lang w:val="zh-CN"/>
              </w:rPr>
              <w:t>日～</w:t>
            </w:r>
            <w:r>
              <w:rPr>
                <w:rFonts w:hint="default" w:ascii="Times New Roman" w:hAnsi="Times New Roman" w:cs="Times New Roman"/>
                <w:color w:val="000000"/>
                <w:sz w:val="24"/>
                <w:highlight w:val="none"/>
                <w:lang w:val="en-US" w:eastAsia="zh-CN"/>
              </w:rPr>
              <w:t>4</w:t>
            </w:r>
            <w:r>
              <w:rPr>
                <w:rFonts w:hint="default" w:ascii="Times New Roman" w:hAnsi="Times New Roman" w:cs="Times New Roman"/>
                <w:color w:val="000000"/>
                <w:sz w:val="24"/>
                <w:highlight w:val="none"/>
                <w:lang w:val="zh-CN"/>
              </w:rPr>
              <w:t>月</w:t>
            </w:r>
            <w:r>
              <w:rPr>
                <w:rFonts w:hint="default" w:ascii="Times New Roman" w:hAnsi="Times New Roman" w:cs="Times New Roman"/>
                <w:color w:val="000000"/>
                <w:sz w:val="24"/>
                <w:highlight w:val="none"/>
                <w:lang w:val="en-US" w:eastAsia="zh-CN"/>
              </w:rPr>
              <w:t>22</w:t>
            </w:r>
            <w:r>
              <w:rPr>
                <w:rFonts w:hint="default" w:ascii="Times New Roman" w:hAnsi="Times New Roman" w:cs="Times New Roman"/>
                <w:color w:val="000000"/>
                <w:sz w:val="24"/>
                <w:highlight w:val="none"/>
                <w:lang w:val="zh-CN"/>
              </w:rPr>
              <w:t>日在评价区布设的监测数据，详见</w:t>
            </w:r>
            <w:r>
              <w:rPr>
                <w:rFonts w:hint="default" w:ascii="Times New Roman" w:hAnsi="Times New Roman" w:cs="Times New Roman"/>
                <w:color w:val="000000"/>
                <w:sz w:val="24"/>
                <w:highlight w:val="none"/>
              </w:rPr>
              <w:t>下表</w:t>
            </w:r>
            <w:r>
              <w:rPr>
                <w:rFonts w:hint="default" w:ascii="Times New Roman" w:hAnsi="Times New Roman" w:cs="Times New Roman"/>
                <w:color w:val="000000"/>
                <w:sz w:val="24"/>
                <w:highlight w:val="none"/>
                <w:lang w:val="zh-CN"/>
              </w:rPr>
              <w:t>。</w:t>
            </w:r>
          </w:p>
          <w:p w14:paraId="730D9042">
            <w:pPr>
              <w:pStyle w:val="95"/>
              <w:keepNext w:val="0"/>
              <w:keepLines w:val="0"/>
              <w:pageBreakBefore w:val="0"/>
              <w:widowControl w:val="0"/>
              <w:kinsoku/>
              <w:wordWrap/>
              <w:overflowPunct/>
              <w:topLinePunct w:val="0"/>
              <w:autoSpaceDE/>
              <w:autoSpaceDN/>
              <w:bidi w:val="0"/>
              <w:adjustRightInd/>
              <w:snapToGrid/>
              <w:spacing w:before="0" w:beforeLines="0"/>
              <w:ind w:left="0" w:leftChars="0" w:firstLine="0" w:firstLineChars="0"/>
              <w:jc w:val="center"/>
              <w:textAlignment w:val="auto"/>
              <w:rPr>
                <w:rFonts w:hint="default" w:ascii="Times New Roman" w:hAnsi="Times New Roman" w:eastAsia="宋体" w:cs="Times New Roman"/>
                <w:b/>
                <w:color w:val="000000"/>
                <w:kern w:val="2"/>
                <w:sz w:val="21"/>
                <w:highlight w:val="none"/>
              </w:rPr>
            </w:pPr>
            <w:r>
              <w:rPr>
                <w:rFonts w:hint="default" w:ascii="Times New Roman" w:hAnsi="Times New Roman" w:eastAsia="宋体" w:cs="Times New Roman"/>
                <w:b/>
                <w:color w:val="000000"/>
                <w:kern w:val="2"/>
                <w:sz w:val="21"/>
                <w:highlight w:val="none"/>
              </w:rPr>
              <w:t>其他污染物补充监测点位基本信息</w:t>
            </w:r>
          </w:p>
          <w:tbl>
            <w:tblPr>
              <w:tblStyle w:val="19"/>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3"/>
              <w:gridCol w:w="1019"/>
              <w:gridCol w:w="1107"/>
              <w:gridCol w:w="705"/>
              <w:gridCol w:w="1986"/>
              <w:gridCol w:w="786"/>
              <w:gridCol w:w="981"/>
            </w:tblGrid>
            <w:tr w14:paraId="1809F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017" w:type="pct"/>
                  <w:vMerge w:val="restart"/>
                  <w:noWrap w:val="0"/>
                  <w:vAlign w:val="center"/>
                </w:tcPr>
                <w:p w14:paraId="26A1DB21">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监测点名称</w:t>
                  </w:r>
                </w:p>
              </w:tc>
              <w:tc>
                <w:tcPr>
                  <w:tcW w:w="1285" w:type="pct"/>
                  <w:gridSpan w:val="2"/>
                  <w:noWrap w:val="0"/>
                  <w:vAlign w:val="center"/>
                </w:tcPr>
                <w:p w14:paraId="137B58D9">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监测点位坐标/m</w:t>
                  </w:r>
                </w:p>
              </w:tc>
              <w:tc>
                <w:tcPr>
                  <w:tcW w:w="426" w:type="pct"/>
                  <w:vMerge w:val="restart"/>
                  <w:noWrap w:val="0"/>
                  <w:vAlign w:val="center"/>
                </w:tcPr>
                <w:p w14:paraId="40E4B89F">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监测</w:t>
                  </w:r>
                </w:p>
                <w:p w14:paraId="0A37F233">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因子</w:t>
                  </w:r>
                </w:p>
              </w:tc>
              <w:tc>
                <w:tcPr>
                  <w:tcW w:w="1200" w:type="pct"/>
                  <w:vMerge w:val="restart"/>
                  <w:noWrap w:val="0"/>
                  <w:vAlign w:val="center"/>
                </w:tcPr>
                <w:p w14:paraId="03756763">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监测时段</w:t>
                  </w:r>
                </w:p>
              </w:tc>
              <w:tc>
                <w:tcPr>
                  <w:tcW w:w="475" w:type="pct"/>
                  <w:vMerge w:val="restart"/>
                  <w:noWrap w:val="0"/>
                  <w:vAlign w:val="center"/>
                </w:tcPr>
                <w:p w14:paraId="3D5F3700">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相对厂址方位</w:t>
                  </w:r>
                </w:p>
              </w:tc>
              <w:tc>
                <w:tcPr>
                  <w:tcW w:w="593" w:type="pct"/>
                  <w:vMerge w:val="restart"/>
                  <w:noWrap w:val="0"/>
                  <w:vAlign w:val="center"/>
                </w:tcPr>
                <w:p w14:paraId="3C7CD55E">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相对厂界距离/m</w:t>
                  </w:r>
                </w:p>
              </w:tc>
            </w:tr>
            <w:tr w14:paraId="59128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17" w:type="pct"/>
                  <w:vMerge w:val="continue"/>
                  <w:noWrap w:val="0"/>
                  <w:vAlign w:val="top"/>
                </w:tcPr>
                <w:p w14:paraId="5573C84D">
                  <w:pPr>
                    <w:adjustRightInd w:val="0"/>
                    <w:snapToGrid w:val="0"/>
                    <w:jc w:val="center"/>
                    <w:rPr>
                      <w:rFonts w:hint="default" w:ascii="Times New Roman" w:hAnsi="Times New Roman" w:cs="Times New Roman"/>
                      <w:b/>
                      <w:color w:val="000000"/>
                      <w:szCs w:val="21"/>
                      <w:highlight w:val="none"/>
                    </w:rPr>
                  </w:pPr>
                </w:p>
              </w:tc>
              <w:tc>
                <w:tcPr>
                  <w:tcW w:w="616" w:type="pct"/>
                  <w:noWrap w:val="0"/>
                  <w:vAlign w:val="center"/>
                </w:tcPr>
                <w:p w14:paraId="60C8FCE2">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X</w:t>
                  </w:r>
                </w:p>
              </w:tc>
              <w:tc>
                <w:tcPr>
                  <w:tcW w:w="669" w:type="pct"/>
                  <w:noWrap w:val="0"/>
                  <w:vAlign w:val="center"/>
                </w:tcPr>
                <w:p w14:paraId="640E5488">
                  <w:pPr>
                    <w:snapToGrid w:val="0"/>
                    <w:jc w:val="center"/>
                    <w:rPr>
                      <w:rFonts w:hint="default" w:ascii="Times New Roman" w:hAnsi="Times New Roman" w:cs="Times New Roman"/>
                      <w:b/>
                      <w:color w:val="000000"/>
                      <w:szCs w:val="21"/>
                      <w:highlight w:val="none"/>
                    </w:rPr>
                  </w:pPr>
                  <w:r>
                    <w:rPr>
                      <w:rFonts w:hint="default" w:ascii="Times New Roman" w:hAnsi="Times New Roman" w:cs="Times New Roman"/>
                      <w:b/>
                      <w:color w:val="000000"/>
                      <w:szCs w:val="21"/>
                      <w:highlight w:val="none"/>
                    </w:rPr>
                    <w:t>Y</w:t>
                  </w:r>
                </w:p>
              </w:tc>
              <w:tc>
                <w:tcPr>
                  <w:tcW w:w="426" w:type="pct"/>
                  <w:vMerge w:val="continue"/>
                  <w:noWrap w:val="0"/>
                  <w:vAlign w:val="top"/>
                </w:tcPr>
                <w:p w14:paraId="7897B285">
                  <w:pPr>
                    <w:adjustRightInd w:val="0"/>
                    <w:snapToGrid w:val="0"/>
                    <w:jc w:val="center"/>
                    <w:rPr>
                      <w:rFonts w:hint="default" w:ascii="Times New Roman" w:hAnsi="Times New Roman" w:cs="Times New Roman"/>
                      <w:b/>
                      <w:color w:val="000000"/>
                      <w:szCs w:val="21"/>
                      <w:highlight w:val="none"/>
                    </w:rPr>
                  </w:pPr>
                </w:p>
              </w:tc>
              <w:tc>
                <w:tcPr>
                  <w:tcW w:w="1200" w:type="pct"/>
                  <w:vMerge w:val="continue"/>
                  <w:noWrap w:val="0"/>
                  <w:vAlign w:val="top"/>
                </w:tcPr>
                <w:p w14:paraId="1FF2D832">
                  <w:pPr>
                    <w:adjustRightInd w:val="0"/>
                    <w:snapToGrid w:val="0"/>
                    <w:jc w:val="center"/>
                    <w:rPr>
                      <w:rFonts w:hint="default" w:ascii="Times New Roman" w:hAnsi="Times New Roman" w:cs="Times New Roman"/>
                      <w:b/>
                      <w:color w:val="000000"/>
                      <w:szCs w:val="21"/>
                      <w:highlight w:val="none"/>
                    </w:rPr>
                  </w:pPr>
                </w:p>
              </w:tc>
              <w:tc>
                <w:tcPr>
                  <w:tcW w:w="475" w:type="pct"/>
                  <w:vMerge w:val="continue"/>
                  <w:noWrap w:val="0"/>
                  <w:vAlign w:val="top"/>
                </w:tcPr>
                <w:p w14:paraId="46D6F125">
                  <w:pPr>
                    <w:adjustRightInd w:val="0"/>
                    <w:snapToGrid w:val="0"/>
                    <w:jc w:val="center"/>
                    <w:rPr>
                      <w:rFonts w:hint="default" w:ascii="Times New Roman" w:hAnsi="Times New Roman" w:cs="Times New Roman"/>
                      <w:b/>
                      <w:color w:val="000000"/>
                      <w:szCs w:val="21"/>
                      <w:highlight w:val="none"/>
                    </w:rPr>
                  </w:pPr>
                </w:p>
              </w:tc>
              <w:tc>
                <w:tcPr>
                  <w:tcW w:w="593" w:type="pct"/>
                  <w:vMerge w:val="continue"/>
                  <w:noWrap w:val="0"/>
                  <w:vAlign w:val="top"/>
                </w:tcPr>
                <w:p w14:paraId="235A699A">
                  <w:pPr>
                    <w:adjustRightInd w:val="0"/>
                    <w:snapToGrid w:val="0"/>
                    <w:jc w:val="center"/>
                    <w:rPr>
                      <w:rFonts w:hint="default" w:ascii="Times New Roman" w:hAnsi="Times New Roman" w:cs="Times New Roman"/>
                      <w:b/>
                      <w:color w:val="000000"/>
                      <w:szCs w:val="21"/>
                      <w:highlight w:val="none"/>
                    </w:rPr>
                  </w:pPr>
                </w:p>
              </w:tc>
            </w:tr>
            <w:tr w14:paraId="5FC4F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17" w:type="pct"/>
                  <w:noWrap w:val="0"/>
                  <w:vAlign w:val="center"/>
                </w:tcPr>
                <w:p w14:paraId="4D763F85">
                  <w:pPr>
                    <w:pStyle w:val="80"/>
                    <w:spacing w:before="24" w:after="24"/>
                    <w:ind w:left="0" w:leftChars="0" w:firstLine="0" w:firstLineChars="0"/>
                    <w:jc w:val="center"/>
                    <w:rPr>
                      <w:rFonts w:hint="default" w:ascii="Times New Roman" w:hAnsi="Times New Roman" w:eastAsia="宋体" w:cs="Times New Roman"/>
                      <w:bCs/>
                      <w:color w:val="000000"/>
                      <w:szCs w:val="21"/>
                      <w:highlight w:val="none"/>
                      <w:lang w:val="en-US" w:eastAsia="zh-CN"/>
                    </w:rPr>
                  </w:pPr>
                  <w:r>
                    <w:rPr>
                      <w:rFonts w:hint="default" w:ascii="Times New Roman" w:hAnsi="Times New Roman" w:cs="Times New Roman"/>
                      <w:bCs/>
                      <w:color w:val="000000"/>
                      <w:szCs w:val="21"/>
                      <w:highlight w:val="none"/>
                      <w:lang w:val="en-US" w:eastAsia="zh-CN"/>
                    </w:rPr>
                    <w:t>项目东北敏感点G1</w:t>
                  </w:r>
                  <w:r>
                    <w:rPr>
                      <w:rFonts w:hint="default" w:ascii="Times New Roman" w:hAnsi="Times New Roman" w:eastAsia="宋体" w:cs="Times New Roman"/>
                      <w:bCs/>
                      <w:color w:val="000000"/>
                      <w:szCs w:val="21"/>
                      <w:highlight w:val="none"/>
                      <w:lang w:val="en-US" w:eastAsia="zh-CN"/>
                    </w:rPr>
                    <w:t>引用监测点</w:t>
                  </w:r>
                </w:p>
              </w:tc>
              <w:tc>
                <w:tcPr>
                  <w:tcW w:w="1029" w:type="dxa"/>
                  <w:noWrap w:val="0"/>
                  <w:vAlign w:val="center"/>
                </w:tcPr>
                <w:p w14:paraId="344FE90D">
                  <w:pPr>
                    <w:wordWrap w:val="0"/>
                    <w:overflowPunct w:val="0"/>
                    <w:topLinePunct/>
                    <w:autoSpaceDE w:val="0"/>
                    <w:autoSpaceDN w:val="0"/>
                    <w:adjustRightInd w:val="0"/>
                    <w:jc w:val="center"/>
                    <w:rPr>
                      <w:rFonts w:hint="default" w:ascii="Times New Roman" w:hAnsi="Times New Roman" w:cs="Times New Roman"/>
                      <w:color w:val="000000"/>
                      <w:szCs w:val="21"/>
                      <w:highlight w:val="none"/>
                    </w:rPr>
                  </w:pPr>
                  <w:r>
                    <w:rPr>
                      <w:rFonts w:hint="default" w:ascii="Times New Roman" w:hAnsi="Times New Roman" w:cs="Times New Roman"/>
                      <w:snapToGrid w:val="0"/>
                      <w:color w:val="000000"/>
                      <w:sz w:val="21"/>
                      <w:szCs w:val="21"/>
                      <w:highlight w:val="none"/>
                      <w:lang w:val="en-US" w:eastAsia="zh-CN"/>
                    </w:rPr>
                    <w:t>113.229066</w:t>
                  </w:r>
                </w:p>
              </w:tc>
              <w:tc>
                <w:tcPr>
                  <w:tcW w:w="1116" w:type="dxa"/>
                  <w:noWrap w:val="0"/>
                  <w:vAlign w:val="center"/>
                </w:tcPr>
                <w:p w14:paraId="643CAFDD">
                  <w:pPr>
                    <w:wordWrap w:val="0"/>
                    <w:overflowPunct w:val="0"/>
                    <w:topLinePunct/>
                    <w:autoSpaceDE w:val="0"/>
                    <w:autoSpaceDN w:val="0"/>
                    <w:adjustRightInd w:val="0"/>
                    <w:jc w:val="center"/>
                    <w:rPr>
                      <w:rFonts w:hint="default" w:ascii="Times New Roman" w:hAnsi="Times New Roman" w:cs="Times New Roman"/>
                      <w:color w:val="000000"/>
                      <w:szCs w:val="21"/>
                      <w:highlight w:val="none"/>
                    </w:rPr>
                  </w:pPr>
                  <w:r>
                    <w:rPr>
                      <w:rFonts w:hint="default" w:ascii="Times New Roman" w:hAnsi="Times New Roman" w:cs="Times New Roman"/>
                      <w:snapToGrid w:val="0"/>
                      <w:color w:val="000000"/>
                      <w:kern w:val="0"/>
                      <w:sz w:val="21"/>
                      <w:szCs w:val="21"/>
                      <w:highlight w:val="none"/>
                      <w:lang w:val="en-US" w:eastAsia="zh-CN"/>
                    </w:rPr>
                    <w:t>22.704745</w:t>
                  </w:r>
                </w:p>
              </w:tc>
              <w:tc>
                <w:tcPr>
                  <w:tcW w:w="426" w:type="pct"/>
                  <w:noWrap w:val="0"/>
                  <w:vAlign w:val="center"/>
                </w:tcPr>
                <w:p w14:paraId="7CBAC19B">
                  <w:pPr>
                    <w:pStyle w:val="80"/>
                    <w:spacing w:before="24" w:after="24"/>
                    <w:ind w:left="0" w:leftChars="0" w:firstLine="0" w:firstLineChars="0"/>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TSP</w:t>
                  </w:r>
                </w:p>
              </w:tc>
              <w:tc>
                <w:tcPr>
                  <w:tcW w:w="1200" w:type="pct"/>
                  <w:noWrap w:val="0"/>
                  <w:vAlign w:val="center"/>
                </w:tcPr>
                <w:p w14:paraId="17CB59DA">
                  <w:pPr>
                    <w:pStyle w:val="80"/>
                    <w:spacing w:before="24" w:after="24"/>
                    <w:ind w:left="0" w:leftChars="0" w:firstLine="0" w:firstLineChars="0"/>
                    <w:jc w:val="center"/>
                    <w:rPr>
                      <w:rFonts w:hint="default" w:ascii="Times New Roman" w:hAnsi="Times New Roman" w:cs="Times New Roman"/>
                      <w:bCs/>
                      <w:color w:val="000000"/>
                      <w:szCs w:val="21"/>
                      <w:highlight w:val="none"/>
                      <w:lang w:val="en-US"/>
                    </w:rPr>
                  </w:pPr>
                  <w:r>
                    <w:rPr>
                      <w:rFonts w:hint="default" w:ascii="Times New Roman" w:hAnsi="Times New Roman" w:cs="Times New Roman"/>
                      <w:bCs/>
                      <w:color w:val="000000"/>
                      <w:szCs w:val="21"/>
                      <w:highlight w:val="none"/>
                      <w:lang w:val="en-US"/>
                    </w:rPr>
                    <w:t>2022年4月20日～4月22日</w:t>
                  </w:r>
                </w:p>
              </w:tc>
              <w:tc>
                <w:tcPr>
                  <w:tcW w:w="475" w:type="pct"/>
                  <w:noWrap w:val="0"/>
                  <w:vAlign w:val="center"/>
                </w:tcPr>
                <w:p w14:paraId="5064D5F3">
                  <w:pPr>
                    <w:pStyle w:val="80"/>
                    <w:spacing w:before="24" w:after="24"/>
                    <w:ind w:left="0" w:leftChars="0" w:firstLine="0" w:firstLineChars="0"/>
                    <w:jc w:val="center"/>
                    <w:rPr>
                      <w:rFonts w:hint="default" w:ascii="Times New Roman" w:hAnsi="Times New Roman" w:eastAsia="宋体" w:cs="Times New Roman"/>
                      <w:bCs/>
                      <w:color w:val="000000"/>
                      <w:szCs w:val="21"/>
                      <w:highlight w:val="none"/>
                      <w:lang w:val="en-US" w:eastAsia="zh-CN"/>
                    </w:rPr>
                  </w:pPr>
                  <w:r>
                    <w:rPr>
                      <w:rFonts w:hint="default" w:ascii="Times New Roman" w:hAnsi="Times New Roman" w:cs="Times New Roman"/>
                      <w:bCs/>
                      <w:color w:val="000000"/>
                      <w:szCs w:val="21"/>
                      <w:highlight w:val="none"/>
                      <w:lang w:val="en-US" w:eastAsia="zh-CN"/>
                    </w:rPr>
                    <w:t>西南</w:t>
                  </w:r>
                </w:p>
              </w:tc>
              <w:tc>
                <w:tcPr>
                  <w:tcW w:w="593" w:type="pct"/>
                  <w:noWrap w:val="0"/>
                  <w:vAlign w:val="center"/>
                </w:tcPr>
                <w:p w14:paraId="2C72BD5B">
                  <w:pPr>
                    <w:pStyle w:val="80"/>
                    <w:spacing w:before="24" w:after="24"/>
                    <w:ind w:left="0" w:leftChars="0" w:firstLine="0" w:firstLineChars="0"/>
                    <w:jc w:val="center"/>
                    <w:rPr>
                      <w:rFonts w:hint="default" w:ascii="Times New Roman" w:hAnsi="Times New Roman" w:eastAsia="宋体" w:cs="Times New Roman"/>
                      <w:bCs/>
                      <w:color w:val="000000"/>
                      <w:szCs w:val="21"/>
                      <w:highlight w:val="none"/>
                      <w:lang w:val="en-US" w:eastAsia="zh-CN"/>
                    </w:rPr>
                  </w:pPr>
                  <w:r>
                    <w:rPr>
                      <w:rFonts w:hint="default" w:ascii="Times New Roman" w:hAnsi="Times New Roman" w:cs="Times New Roman"/>
                      <w:bCs/>
                      <w:color w:val="000000"/>
                      <w:szCs w:val="21"/>
                      <w:highlight w:val="none"/>
                      <w:lang w:val="en-US" w:eastAsia="zh-CN"/>
                    </w:rPr>
                    <w:t>3</w:t>
                  </w:r>
                  <w:r>
                    <w:rPr>
                      <w:rFonts w:hint="eastAsia" w:ascii="Times New Roman" w:cs="Times New Roman"/>
                      <w:bCs/>
                      <w:color w:val="000000"/>
                      <w:szCs w:val="21"/>
                      <w:highlight w:val="none"/>
                      <w:lang w:val="en-US" w:eastAsia="zh-CN"/>
                    </w:rPr>
                    <w:t>408</w:t>
                  </w:r>
                </w:p>
              </w:tc>
            </w:tr>
          </w:tbl>
          <w:p w14:paraId="162060E9">
            <w:pPr>
              <w:spacing w:line="360" w:lineRule="auto"/>
              <w:ind w:firstLine="480" w:firstLineChars="200"/>
              <w:rPr>
                <w:rFonts w:hint="default" w:ascii="Times New Roman" w:hAnsi="Times New Roman" w:eastAsia="宋体" w:cs="Times New Roman"/>
                <w:color w:val="000000"/>
                <w:sz w:val="24"/>
                <w:highlight w:val="none"/>
                <w:lang w:val="zh-CN"/>
              </w:rPr>
            </w:pPr>
            <w:r>
              <w:rPr>
                <w:rFonts w:hint="default" w:ascii="Times New Roman" w:hAnsi="Times New Roman" w:eastAsia="宋体" w:cs="Times New Roman"/>
                <w:color w:val="000000"/>
                <w:sz w:val="24"/>
                <w:highlight w:val="none"/>
                <w:lang w:val="en-US" w:eastAsia="zh-CN"/>
              </w:rPr>
              <w:t>4、</w:t>
            </w:r>
            <w:r>
              <w:rPr>
                <w:rFonts w:hint="default" w:ascii="Times New Roman" w:hAnsi="Times New Roman" w:eastAsia="宋体" w:cs="Times New Roman"/>
                <w:color w:val="000000"/>
                <w:sz w:val="24"/>
                <w:highlight w:val="none"/>
                <w:lang w:val="zh-CN"/>
              </w:rPr>
              <w:t>监测结果与评价</w:t>
            </w:r>
          </w:p>
          <w:p w14:paraId="18642CB2">
            <w:pPr>
              <w:spacing w:line="360" w:lineRule="auto"/>
              <w:ind w:firstLine="480" w:firstLineChars="200"/>
              <w:rPr>
                <w:rFonts w:hint="default" w:ascii="Times New Roman" w:hAnsi="Times New Roman" w:eastAsia="宋体" w:cs="Times New Roman"/>
                <w:color w:val="000000"/>
                <w:sz w:val="24"/>
                <w:highlight w:val="none"/>
                <w:lang w:val="zh-CN"/>
              </w:rPr>
            </w:pPr>
            <w:r>
              <w:rPr>
                <w:rFonts w:hint="default" w:ascii="Times New Roman" w:hAnsi="Times New Roman" w:eastAsia="宋体" w:cs="Times New Roman"/>
                <w:color w:val="000000"/>
                <w:sz w:val="24"/>
                <w:highlight w:val="none"/>
                <w:lang w:val="zh-CN"/>
              </w:rPr>
              <w:t>本次补充监测结果见下表：</w:t>
            </w:r>
          </w:p>
          <w:p w14:paraId="130FB568">
            <w:pPr>
              <w:pStyle w:val="95"/>
              <w:spacing w:before="0" w:beforeLines="0"/>
              <w:rPr>
                <w:rFonts w:hint="default" w:ascii="Times New Roman" w:hAnsi="Times New Roman" w:cs="Times New Roman"/>
                <w:b/>
                <w:bCs/>
                <w:color w:val="000000"/>
                <w:sz w:val="21"/>
                <w:szCs w:val="21"/>
                <w:highlight w:val="none"/>
              </w:rPr>
            </w:pPr>
            <w:r>
              <w:rPr>
                <w:rFonts w:hint="default" w:ascii="Times New Roman" w:hAnsi="Times New Roman" w:cs="Times New Roman"/>
                <w:b/>
                <w:bCs/>
                <w:color w:val="000000"/>
                <w:sz w:val="21"/>
                <w:szCs w:val="21"/>
                <w:highlight w:val="none"/>
              </w:rPr>
              <w:t>其他污染物环境质量现状（监测结果）表</w:t>
            </w:r>
          </w:p>
          <w:tbl>
            <w:tblPr>
              <w:tblStyle w:val="1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4"/>
              <w:gridCol w:w="829"/>
              <w:gridCol w:w="839"/>
              <w:gridCol w:w="1137"/>
              <w:gridCol w:w="1388"/>
              <w:gridCol w:w="913"/>
              <w:gridCol w:w="682"/>
              <w:gridCol w:w="705"/>
            </w:tblGrid>
            <w:tr w14:paraId="5B5F2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pct"/>
                  <w:tcBorders>
                    <w:left w:val="single" w:color="auto" w:sz="4" w:space="0"/>
                    <w:right w:val="single" w:color="auto" w:sz="4" w:space="0"/>
                  </w:tcBorders>
                  <w:noWrap w:val="0"/>
                  <w:vAlign w:val="center"/>
                </w:tcPr>
                <w:p w14:paraId="7560C3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监测点位</w:t>
                  </w:r>
                </w:p>
              </w:tc>
              <w:tc>
                <w:tcPr>
                  <w:tcW w:w="501" w:type="pct"/>
                  <w:tcBorders>
                    <w:left w:val="single" w:color="auto" w:sz="4" w:space="0"/>
                    <w:right w:val="single" w:color="auto" w:sz="4" w:space="0"/>
                  </w:tcBorders>
                  <w:noWrap w:val="0"/>
                  <w:vAlign w:val="center"/>
                </w:tcPr>
                <w:p w14:paraId="74564B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污染物</w:t>
                  </w:r>
                </w:p>
              </w:tc>
              <w:tc>
                <w:tcPr>
                  <w:tcW w:w="507" w:type="pct"/>
                  <w:tcBorders>
                    <w:top w:val="single" w:color="auto" w:sz="4" w:space="0"/>
                    <w:left w:val="single" w:color="auto" w:sz="4" w:space="0"/>
                    <w:bottom w:val="single" w:color="auto" w:sz="4" w:space="0"/>
                    <w:right w:val="single" w:color="auto" w:sz="4" w:space="0"/>
                  </w:tcBorders>
                  <w:noWrap w:val="0"/>
                  <w:vAlign w:val="center"/>
                </w:tcPr>
                <w:p w14:paraId="7E5991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平均时间</w:t>
                  </w:r>
                </w:p>
              </w:tc>
              <w:tc>
                <w:tcPr>
                  <w:tcW w:w="687" w:type="pct"/>
                  <w:tcBorders>
                    <w:top w:val="single" w:color="auto" w:sz="4" w:space="0"/>
                    <w:left w:val="single" w:color="auto" w:sz="4" w:space="0"/>
                    <w:right w:val="single" w:color="auto" w:sz="4" w:space="0"/>
                  </w:tcBorders>
                  <w:noWrap w:val="0"/>
                  <w:vAlign w:val="center"/>
                </w:tcPr>
                <w:p w14:paraId="321BCA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评价标准（mg/m</w:t>
                  </w:r>
                  <w:r>
                    <w:rPr>
                      <w:rFonts w:hint="default" w:ascii="Times New Roman" w:hAnsi="Times New Roman" w:eastAsia="宋体" w:cs="Times New Roman"/>
                      <w:b/>
                      <w:bCs/>
                      <w:color w:val="000000"/>
                      <w:sz w:val="21"/>
                      <w:szCs w:val="21"/>
                      <w:highlight w:val="none"/>
                      <w:vertAlign w:val="superscript"/>
                      <w:lang w:val="zh-CN"/>
                    </w:rPr>
                    <w:t>3</w:t>
                  </w:r>
                  <w:r>
                    <w:rPr>
                      <w:rFonts w:hint="default" w:ascii="Times New Roman" w:hAnsi="Times New Roman" w:eastAsia="宋体" w:cs="Times New Roman"/>
                      <w:b/>
                      <w:bCs/>
                      <w:color w:val="000000"/>
                      <w:sz w:val="21"/>
                      <w:szCs w:val="21"/>
                      <w:highlight w:val="none"/>
                      <w:lang w:val="zh-CN"/>
                    </w:rPr>
                    <w:t>）</w:t>
                  </w:r>
                </w:p>
              </w:tc>
              <w:tc>
                <w:tcPr>
                  <w:tcW w:w="839" w:type="pct"/>
                  <w:tcBorders>
                    <w:top w:val="single" w:color="auto" w:sz="4" w:space="0"/>
                    <w:left w:val="single" w:color="auto" w:sz="4" w:space="0"/>
                    <w:right w:val="single" w:color="auto" w:sz="4" w:space="0"/>
                  </w:tcBorders>
                  <w:noWrap w:val="0"/>
                  <w:vAlign w:val="center"/>
                </w:tcPr>
                <w:p w14:paraId="252283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监测浓度范围（mg/m</w:t>
                  </w:r>
                  <w:r>
                    <w:rPr>
                      <w:rFonts w:hint="default" w:ascii="Times New Roman" w:hAnsi="Times New Roman" w:eastAsia="宋体" w:cs="Times New Roman"/>
                      <w:b/>
                      <w:bCs/>
                      <w:color w:val="000000"/>
                      <w:sz w:val="21"/>
                      <w:szCs w:val="21"/>
                      <w:highlight w:val="none"/>
                      <w:vertAlign w:val="superscript"/>
                      <w:lang w:val="zh-CN"/>
                    </w:rPr>
                    <w:t>3</w:t>
                  </w:r>
                  <w:r>
                    <w:rPr>
                      <w:rFonts w:hint="default" w:ascii="Times New Roman" w:hAnsi="Times New Roman" w:eastAsia="宋体" w:cs="Times New Roman"/>
                      <w:b/>
                      <w:bCs/>
                      <w:color w:val="000000"/>
                      <w:sz w:val="21"/>
                      <w:szCs w:val="21"/>
                      <w:highlight w:val="none"/>
                      <w:lang w:val="zh-CN"/>
                    </w:rPr>
                    <w:t>）</w:t>
                  </w:r>
                </w:p>
              </w:tc>
              <w:tc>
                <w:tcPr>
                  <w:tcW w:w="552" w:type="pct"/>
                  <w:tcBorders>
                    <w:top w:val="single" w:color="auto" w:sz="4" w:space="0"/>
                    <w:left w:val="single" w:color="auto" w:sz="4" w:space="0"/>
                    <w:right w:val="single" w:color="auto" w:sz="4" w:space="0"/>
                  </w:tcBorders>
                  <w:noWrap w:val="0"/>
                  <w:vAlign w:val="center"/>
                </w:tcPr>
                <w:p w14:paraId="158EF4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最大浓度占标率%</w:t>
                  </w:r>
                </w:p>
              </w:tc>
              <w:tc>
                <w:tcPr>
                  <w:tcW w:w="412" w:type="pct"/>
                  <w:tcBorders>
                    <w:top w:val="single" w:color="auto" w:sz="4" w:space="0"/>
                    <w:left w:val="single" w:color="auto" w:sz="4" w:space="0"/>
                    <w:right w:val="single" w:color="auto" w:sz="4" w:space="0"/>
                  </w:tcBorders>
                  <w:noWrap w:val="0"/>
                  <w:vAlign w:val="center"/>
                </w:tcPr>
                <w:p w14:paraId="493567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超标率%</w:t>
                  </w:r>
                </w:p>
              </w:tc>
              <w:tc>
                <w:tcPr>
                  <w:tcW w:w="426" w:type="pct"/>
                  <w:tcBorders>
                    <w:top w:val="single" w:color="auto" w:sz="4" w:space="0"/>
                    <w:left w:val="single" w:color="auto" w:sz="4" w:space="0"/>
                    <w:right w:val="single" w:color="auto" w:sz="4" w:space="0"/>
                  </w:tcBorders>
                  <w:noWrap w:val="0"/>
                  <w:vAlign w:val="center"/>
                </w:tcPr>
                <w:p w14:paraId="11F426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sz w:val="21"/>
                      <w:szCs w:val="21"/>
                      <w:highlight w:val="none"/>
                      <w:lang w:val="zh-CN"/>
                    </w:rPr>
                  </w:pPr>
                  <w:r>
                    <w:rPr>
                      <w:rFonts w:hint="default" w:ascii="Times New Roman" w:hAnsi="Times New Roman" w:eastAsia="宋体" w:cs="Times New Roman"/>
                      <w:b/>
                      <w:bCs/>
                      <w:color w:val="000000"/>
                      <w:sz w:val="21"/>
                      <w:szCs w:val="21"/>
                      <w:highlight w:val="none"/>
                      <w:lang w:val="zh-CN"/>
                    </w:rPr>
                    <w:t>达标情况</w:t>
                  </w:r>
                </w:p>
              </w:tc>
            </w:tr>
            <w:tr w14:paraId="5FC55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3" w:type="pct"/>
                  <w:tcBorders>
                    <w:left w:val="single" w:color="auto" w:sz="4" w:space="0"/>
                    <w:right w:val="single" w:color="auto" w:sz="4" w:space="0"/>
                  </w:tcBorders>
                  <w:noWrap w:val="0"/>
                  <w:vAlign w:val="center"/>
                </w:tcPr>
                <w:p w14:paraId="004D8F9F">
                  <w:pPr>
                    <w:jc w:val="center"/>
                    <w:rPr>
                      <w:rFonts w:hint="default" w:ascii="Times New Roman" w:hAnsi="Times New Roman" w:eastAsia="宋体" w:cs="Times New Roman"/>
                      <w:color w:val="000000"/>
                      <w:sz w:val="21"/>
                      <w:szCs w:val="21"/>
                      <w:highlight w:val="none"/>
                      <w:lang w:val="zh-CN" w:eastAsia="zh-CN"/>
                    </w:rPr>
                  </w:pPr>
                  <w:r>
                    <w:rPr>
                      <w:rFonts w:hint="default" w:ascii="Times New Roman" w:hAnsi="Times New Roman" w:cs="Times New Roman"/>
                      <w:bCs/>
                      <w:color w:val="000000"/>
                      <w:szCs w:val="21"/>
                      <w:highlight w:val="none"/>
                      <w:lang w:val="en-US" w:eastAsia="zh-CN"/>
                    </w:rPr>
                    <w:t>项目东北敏感点G1</w:t>
                  </w:r>
                  <w:r>
                    <w:rPr>
                      <w:rFonts w:hint="default" w:ascii="Times New Roman" w:hAnsi="Times New Roman" w:eastAsia="宋体" w:cs="Times New Roman"/>
                      <w:bCs/>
                      <w:color w:val="000000"/>
                      <w:szCs w:val="21"/>
                      <w:highlight w:val="none"/>
                      <w:lang w:val="en-US" w:eastAsia="zh-CN"/>
                    </w:rPr>
                    <w:t>引用监测点</w:t>
                  </w:r>
                </w:p>
              </w:tc>
              <w:tc>
                <w:tcPr>
                  <w:tcW w:w="501" w:type="pct"/>
                  <w:tcBorders>
                    <w:top w:val="single" w:color="auto" w:sz="4" w:space="0"/>
                    <w:left w:val="single" w:color="auto" w:sz="4" w:space="0"/>
                    <w:bottom w:val="single" w:color="auto" w:sz="4" w:space="0"/>
                    <w:right w:val="single" w:color="auto" w:sz="4" w:space="0"/>
                  </w:tcBorders>
                  <w:noWrap w:val="0"/>
                  <w:vAlign w:val="center"/>
                </w:tcPr>
                <w:p w14:paraId="405545A4">
                  <w:pPr>
                    <w:jc w:val="center"/>
                    <w:rPr>
                      <w:rFonts w:hint="default" w:ascii="Times New Roman" w:hAnsi="Times New Roman" w:eastAsia="宋体" w:cs="Times New Roman"/>
                      <w:color w:val="000000"/>
                      <w:sz w:val="21"/>
                      <w:szCs w:val="21"/>
                      <w:highlight w:val="none"/>
                      <w:lang w:val="zh-CN"/>
                    </w:rPr>
                  </w:pPr>
                  <w:r>
                    <w:rPr>
                      <w:rFonts w:hint="default" w:ascii="Times New Roman" w:hAnsi="Times New Roman" w:cs="Times New Roman"/>
                      <w:color w:val="000000"/>
                      <w:szCs w:val="21"/>
                      <w:highlight w:val="none"/>
                      <w:lang w:val="zh-CN"/>
                    </w:rPr>
                    <w:t>TSP</w:t>
                  </w:r>
                </w:p>
              </w:tc>
              <w:tc>
                <w:tcPr>
                  <w:tcW w:w="507" w:type="pct"/>
                  <w:noWrap w:val="0"/>
                  <w:vAlign w:val="center"/>
                </w:tcPr>
                <w:p w14:paraId="6674E666">
                  <w:pPr>
                    <w:jc w:val="center"/>
                    <w:rPr>
                      <w:rFonts w:hint="default" w:ascii="Times New Roman" w:hAnsi="Times New Roman" w:eastAsia="宋体" w:cs="Times New Roman"/>
                      <w:color w:val="000000"/>
                      <w:sz w:val="21"/>
                      <w:szCs w:val="21"/>
                      <w:highlight w:val="none"/>
                      <w:lang w:val="zh-CN"/>
                    </w:rPr>
                  </w:pPr>
                  <w:r>
                    <w:rPr>
                      <w:rFonts w:hint="default" w:ascii="Times New Roman" w:hAnsi="Times New Roman" w:cs="Times New Roman"/>
                      <w:color w:val="000000"/>
                      <w:szCs w:val="21"/>
                      <w:highlight w:val="none"/>
                      <w:lang w:val="zh-CN"/>
                    </w:rPr>
                    <w:t>日均值</w:t>
                  </w:r>
                </w:p>
              </w:tc>
              <w:tc>
                <w:tcPr>
                  <w:tcW w:w="687" w:type="pct"/>
                  <w:noWrap w:val="0"/>
                  <w:vAlign w:val="center"/>
                </w:tcPr>
                <w:p w14:paraId="2506236C">
                  <w:pPr>
                    <w:jc w:val="center"/>
                    <w:rPr>
                      <w:rFonts w:hint="default" w:ascii="Times New Roman" w:hAnsi="Times New Roman" w:eastAsia="宋体" w:cs="Times New Roman"/>
                      <w:color w:val="000000"/>
                      <w:sz w:val="21"/>
                      <w:szCs w:val="21"/>
                      <w:highlight w:val="none"/>
                      <w:lang w:val="zh-CN"/>
                    </w:rPr>
                  </w:pPr>
                  <w:r>
                    <w:rPr>
                      <w:rFonts w:hint="default" w:ascii="Times New Roman" w:hAnsi="Times New Roman" w:cs="Times New Roman"/>
                      <w:color w:val="000000"/>
                      <w:szCs w:val="21"/>
                      <w:highlight w:val="none"/>
                    </w:rPr>
                    <w:t>0.30</w:t>
                  </w:r>
                </w:p>
              </w:tc>
              <w:tc>
                <w:tcPr>
                  <w:tcW w:w="839" w:type="pct"/>
                  <w:noWrap w:val="0"/>
                  <w:vAlign w:val="center"/>
                </w:tcPr>
                <w:p w14:paraId="2A852BAE">
                  <w:pPr>
                    <w:pStyle w:val="80"/>
                    <w:spacing w:before="24" w:after="24"/>
                    <w:ind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color w:val="000000"/>
                      <w:szCs w:val="21"/>
                      <w:highlight w:val="none"/>
                      <w:lang w:val="en-US" w:eastAsia="zh-CN"/>
                    </w:rPr>
                    <w:t>0.104-0.137</w:t>
                  </w:r>
                </w:p>
              </w:tc>
              <w:tc>
                <w:tcPr>
                  <w:tcW w:w="552" w:type="pct"/>
                  <w:noWrap w:val="0"/>
                  <w:vAlign w:val="center"/>
                </w:tcPr>
                <w:p w14:paraId="0B6167BD">
                  <w:pPr>
                    <w:pStyle w:val="80"/>
                    <w:spacing w:before="24" w:after="24"/>
                    <w:ind w:firstLine="0" w:firstLineChars="0"/>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color w:val="000000"/>
                      <w:szCs w:val="21"/>
                      <w:highlight w:val="none"/>
                      <w:lang w:val="en-US" w:eastAsia="zh-CN"/>
                    </w:rPr>
                    <w:t>45.7</w:t>
                  </w:r>
                </w:p>
              </w:tc>
              <w:tc>
                <w:tcPr>
                  <w:tcW w:w="412" w:type="pct"/>
                  <w:noWrap w:val="0"/>
                  <w:vAlign w:val="center"/>
                </w:tcPr>
                <w:p w14:paraId="7D60D411">
                  <w:pPr>
                    <w:pStyle w:val="80"/>
                    <w:spacing w:before="24" w:after="24"/>
                    <w:ind w:firstLine="0" w:firstLineChars="0"/>
                    <w:rPr>
                      <w:rFonts w:hint="default" w:ascii="Times New Roman" w:hAnsi="Times New Roman" w:eastAsia="宋体" w:cs="Times New Roman"/>
                      <w:color w:val="000000"/>
                      <w:sz w:val="21"/>
                      <w:szCs w:val="21"/>
                      <w:highlight w:val="none"/>
                      <w:lang w:val="zh-CN"/>
                    </w:rPr>
                  </w:pPr>
                  <w:r>
                    <w:rPr>
                      <w:rFonts w:hint="default" w:ascii="Times New Roman" w:hAnsi="Times New Roman" w:cs="Times New Roman"/>
                      <w:bCs/>
                      <w:color w:val="000000"/>
                      <w:szCs w:val="21"/>
                      <w:highlight w:val="none"/>
                    </w:rPr>
                    <w:t>0</w:t>
                  </w:r>
                </w:p>
              </w:tc>
              <w:tc>
                <w:tcPr>
                  <w:tcW w:w="426" w:type="pct"/>
                  <w:noWrap w:val="0"/>
                  <w:vAlign w:val="center"/>
                </w:tcPr>
                <w:p w14:paraId="586AF27F">
                  <w:pPr>
                    <w:pStyle w:val="80"/>
                    <w:spacing w:before="24" w:after="24"/>
                    <w:ind w:firstLine="0" w:firstLineChars="0"/>
                    <w:rPr>
                      <w:rFonts w:hint="default" w:ascii="Times New Roman" w:hAnsi="Times New Roman" w:eastAsia="宋体" w:cs="Times New Roman"/>
                      <w:color w:val="000000"/>
                      <w:sz w:val="21"/>
                      <w:szCs w:val="21"/>
                      <w:highlight w:val="none"/>
                      <w:lang w:val="zh-CN"/>
                    </w:rPr>
                  </w:pPr>
                  <w:r>
                    <w:rPr>
                      <w:rFonts w:hint="default" w:ascii="Times New Roman" w:hAnsi="Times New Roman" w:cs="Times New Roman"/>
                      <w:bCs/>
                      <w:color w:val="000000"/>
                      <w:szCs w:val="21"/>
                      <w:highlight w:val="none"/>
                    </w:rPr>
                    <w:t>达标</w:t>
                  </w:r>
                </w:p>
              </w:tc>
            </w:tr>
          </w:tbl>
          <w:p w14:paraId="6D63B8AC">
            <w:pPr>
              <w:spacing w:line="360" w:lineRule="auto"/>
              <w:ind w:firstLine="480" w:firstLineChars="200"/>
              <w:rPr>
                <w:rFonts w:hint="default" w:ascii="Times New Roman" w:hAnsi="Times New Roman" w:eastAsia="宋体" w:cs="Times New Roman"/>
                <w:color w:val="000000"/>
                <w:sz w:val="24"/>
                <w:highlight w:val="none"/>
                <w:lang w:val="zh-CN" w:eastAsia="zh-CN"/>
              </w:rPr>
            </w:pPr>
            <w:r>
              <w:rPr>
                <w:rFonts w:hint="default" w:ascii="Times New Roman" w:hAnsi="Times New Roman" w:eastAsia="宋体" w:cs="Times New Roman"/>
                <w:color w:val="000000"/>
                <w:sz w:val="24"/>
                <w:highlight w:val="none"/>
                <w:lang w:val="zh-CN" w:eastAsia="zh-CN"/>
              </w:rPr>
              <w:t>结果表明，TSP符合《环境空气质量标准》（GB3095-2012）及2018修改清单二级标准。从监测结果看，该区域大气环境质量较好。</w:t>
            </w:r>
          </w:p>
          <w:p w14:paraId="0A0CC27E">
            <w:pPr>
              <w:spacing w:line="360" w:lineRule="auto"/>
              <w:jc w:val="both"/>
              <w:rPr>
                <w:rFonts w:hint="default" w:ascii="Times New Roman" w:hAnsi="Times New Roman" w:cs="Times New Roman"/>
                <w:color w:val="000000"/>
                <w:sz w:val="24"/>
                <w:highlight w:val="none"/>
              </w:rPr>
            </w:pPr>
            <w:r>
              <w:drawing>
                <wp:inline distT="0" distB="0" distL="114300" distR="114300">
                  <wp:extent cx="5387975" cy="3442970"/>
                  <wp:effectExtent l="0" t="0" r="3175" b="508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2"/>
                          <a:stretch>
                            <a:fillRect/>
                          </a:stretch>
                        </pic:blipFill>
                        <pic:spPr>
                          <a:xfrm>
                            <a:off x="0" y="0"/>
                            <a:ext cx="5387975" cy="3442970"/>
                          </a:xfrm>
                          <a:prstGeom prst="rect">
                            <a:avLst/>
                          </a:prstGeom>
                          <a:noFill/>
                          <a:ln>
                            <a:noFill/>
                          </a:ln>
                        </pic:spPr>
                      </pic:pic>
                    </a:graphicData>
                  </a:graphic>
                </wp:inline>
              </w:drawing>
            </w:r>
          </w:p>
          <w:p w14:paraId="1358E141">
            <w:pPr>
              <w:spacing w:before="120" w:beforeLines="50" w:line="360" w:lineRule="auto"/>
              <w:ind w:firstLine="482" w:firstLineChars="200"/>
              <w:rPr>
                <w:b/>
                <w:bCs/>
                <w:color w:val="auto"/>
                <w:sz w:val="24"/>
                <w:highlight w:val="none"/>
              </w:rPr>
            </w:pPr>
            <w:r>
              <w:rPr>
                <w:b/>
                <w:bCs/>
                <w:color w:val="auto"/>
                <w:sz w:val="24"/>
                <w:highlight w:val="none"/>
              </w:rPr>
              <w:t>三、声环境质量现状：</w:t>
            </w:r>
          </w:p>
          <w:p w14:paraId="5DC2314A">
            <w:pPr>
              <w:spacing w:before="120" w:beforeLines="50" w:line="360" w:lineRule="auto"/>
              <w:ind w:firstLine="480" w:firstLineChars="200"/>
              <w:rPr>
                <w:rFonts w:hint="eastAsia"/>
                <w:color w:val="auto"/>
                <w:sz w:val="24"/>
                <w:szCs w:val="24"/>
                <w:lang w:val="en-US" w:eastAsia="zh-CN"/>
              </w:rPr>
            </w:pPr>
            <w:r>
              <w:rPr>
                <w:rFonts w:hint="eastAsia"/>
                <w:color w:val="auto"/>
                <w:sz w:val="24"/>
                <w:szCs w:val="24"/>
                <w:lang w:val="en-US" w:eastAsia="zh-CN"/>
              </w:rPr>
              <w:t>本项目为新建项目，项目周边50m范围内存在声环境敏感点，根据《建设项目环境影响报告表编制技术指南（污染影响类）（试行）》相关要求。项目于2024年12月27日委托佳誉（广东）检测有限公司进行敏感点噪声现状监测（报告编号：JQC-HJ-R241227075），结果如下：</w:t>
            </w:r>
          </w:p>
          <w:p w14:paraId="4198DDD8">
            <w:pPr>
              <w:pStyle w:val="95"/>
              <w:spacing w:before="0"/>
              <w:rPr>
                <w:rFonts w:hint="eastAsia"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项目声环境质量现状调查及监测结果</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698"/>
              <w:gridCol w:w="3209"/>
              <w:gridCol w:w="3209"/>
            </w:tblGrid>
            <w:tr w14:paraId="44711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1" w:hRule="atLeast"/>
                <w:jc w:val="center"/>
              </w:trPr>
              <w:tc>
                <w:tcPr>
                  <w:tcW w:w="1121" w:type="pct"/>
                  <w:gridSpan w:val="2"/>
                  <w:vAlign w:val="center"/>
                </w:tcPr>
                <w:p w14:paraId="2021E5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监测点位</w:t>
                  </w:r>
                </w:p>
              </w:tc>
              <w:tc>
                <w:tcPr>
                  <w:tcW w:w="1939" w:type="pct"/>
                  <w:vAlign w:val="center"/>
                </w:tcPr>
                <w:p w14:paraId="4DA211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居民公寓监测点</w:t>
                  </w:r>
                  <w:r>
                    <w:rPr>
                      <w:rFonts w:hint="eastAsia" w:ascii="Times New Roman" w:hAnsi="Times New Roman" w:eastAsia="宋体" w:cs="Times New Roman"/>
                      <w:b/>
                      <w:bCs/>
                      <w:color w:val="auto"/>
                      <w:sz w:val="21"/>
                      <w:szCs w:val="21"/>
                      <w:highlight w:val="none"/>
                      <w:lang w:val="en-US" w:eastAsia="zh-CN"/>
                    </w:rPr>
                    <w:t>N</w:t>
                  </w:r>
                  <w:r>
                    <w:rPr>
                      <w:rFonts w:hint="eastAsia" w:cs="Times New Roman"/>
                      <w:b/>
                      <w:bCs/>
                      <w:color w:val="auto"/>
                      <w:sz w:val="21"/>
                      <w:szCs w:val="21"/>
                      <w:highlight w:val="none"/>
                      <w:lang w:val="en-US" w:eastAsia="zh-CN"/>
                    </w:rPr>
                    <w:t>1</w:t>
                  </w:r>
                </w:p>
              </w:tc>
              <w:tc>
                <w:tcPr>
                  <w:tcW w:w="1939" w:type="pct"/>
                  <w:vAlign w:val="center"/>
                </w:tcPr>
                <w:p w14:paraId="43DAD9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sz w:val="21"/>
                      <w:szCs w:val="21"/>
                      <w:highlight w:val="none"/>
                      <w:lang w:val="en-US" w:eastAsia="zh-CN"/>
                    </w:rPr>
                    <w:t>居民公寓监测点</w:t>
                  </w:r>
                  <w:r>
                    <w:rPr>
                      <w:rFonts w:hint="eastAsia" w:ascii="Times New Roman" w:hAnsi="Times New Roman" w:eastAsia="宋体" w:cs="Times New Roman"/>
                      <w:b/>
                      <w:bCs/>
                      <w:color w:val="auto"/>
                      <w:sz w:val="21"/>
                      <w:szCs w:val="21"/>
                      <w:highlight w:val="none"/>
                      <w:lang w:val="en-US" w:eastAsia="zh-CN"/>
                    </w:rPr>
                    <w:t>N</w:t>
                  </w:r>
                  <w:r>
                    <w:rPr>
                      <w:rFonts w:hint="eastAsia" w:cs="Times New Roman"/>
                      <w:b/>
                      <w:bCs/>
                      <w:color w:val="auto"/>
                      <w:sz w:val="21"/>
                      <w:szCs w:val="21"/>
                      <w:highlight w:val="none"/>
                      <w:lang w:val="en-US" w:eastAsia="zh-CN"/>
                    </w:rPr>
                    <w:t>2</w:t>
                  </w:r>
                </w:p>
              </w:tc>
            </w:tr>
            <w:tr w14:paraId="75218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699" w:type="pct"/>
                  <w:vAlign w:val="center"/>
                </w:tcPr>
                <w:p w14:paraId="59001C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监测结果</w:t>
                  </w:r>
                </w:p>
              </w:tc>
              <w:tc>
                <w:tcPr>
                  <w:tcW w:w="421" w:type="pct"/>
                  <w:vAlign w:val="center"/>
                </w:tcPr>
                <w:p w14:paraId="3B03AF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1939" w:type="pct"/>
                  <w:vAlign w:val="center"/>
                </w:tcPr>
                <w:p w14:paraId="23D7D9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58</w:t>
                  </w:r>
                </w:p>
              </w:tc>
              <w:tc>
                <w:tcPr>
                  <w:tcW w:w="1939" w:type="pct"/>
                  <w:shd w:val="clear" w:color="auto" w:fill="auto"/>
                  <w:vAlign w:val="center"/>
                </w:tcPr>
                <w:p w14:paraId="6F4279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57</w:t>
                  </w:r>
                </w:p>
              </w:tc>
            </w:tr>
            <w:tr w14:paraId="0CA41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121" w:type="pct"/>
                  <w:gridSpan w:val="2"/>
                  <w:vAlign w:val="center"/>
                </w:tcPr>
                <w:p w14:paraId="78CDFE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评价标准</w:t>
                  </w:r>
                </w:p>
              </w:tc>
              <w:tc>
                <w:tcPr>
                  <w:tcW w:w="3878" w:type="pct"/>
                  <w:gridSpan w:val="2"/>
                  <w:vAlign w:val="center"/>
                </w:tcPr>
                <w:p w14:paraId="295976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敏感点执行</w:t>
                  </w: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类</w:t>
                  </w:r>
                  <w:r>
                    <w:rPr>
                      <w:rFonts w:hint="eastAsia" w:cs="Times New Roman"/>
                      <w:color w:val="auto"/>
                      <w:sz w:val="21"/>
                      <w:szCs w:val="21"/>
                      <w:highlight w:val="none"/>
                      <w:lang w:val="en-US" w:eastAsia="zh-CN"/>
                    </w:rPr>
                    <w:t>声环境功能区</w:t>
                  </w:r>
                  <w:r>
                    <w:rPr>
                      <w:rFonts w:hint="eastAsia" w:ascii="Times New Roman" w:hAnsi="Times New Roman" w:cs="Times New Roman"/>
                      <w:color w:val="auto"/>
                      <w:sz w:val="21"/>
                      <w:szCs w:val="21"/>
                      <w:highlight w:val="none"/>
                      <w:lang w:val="en-US" w:eastAsia="zh-CN"/>
                    </w:rPr>
                    <w:t>标准：昼间</w:t>
                  </w:r>
                  <w:r>
                    <w:rPr>
                      <w:rFonts w:hint="eastAsia" w:cs="Times New Roman"/>
                      <w:color w:val="auto"/>
                      <w:sz w:val="21"/>
                      <w:szCs w:val="21"/>
                      <w:highlight w:val="none"/>
                      <w:lang w:val="en-US" w:eastAsia="zh-CN"/>
                    </w:rPr>
                    <w:t>60</w:t>
                  </w:r>
                  <w:r>
                    <w:rPr>
                      <w:rFonts w:hint="eastAsia" w:ascii="Times New Roman" w:hAnsi="Times New Roman" w:cs="Times New Roman"/>
                      <w:color w:val="auto"/>
                      <w:sz w:val="21"/>
                      <w:szCs w:val="21"/>
                      <w:highlight w:val="none"/>
                      <w:lang w:val="en-US" w:eastAsia="zh-CN"/>
                    </w:rPr>
                    <w:t>dB</w:t>
                  </w:r>
                  <w:r>
                    <w:rPr>
                      <w:rFonts w:hint="eastAsia" w:cs="Times New Roman"/>
                      <w:color w:val="auto"/>
                      <w:sz w:val="21"/>
                      <w:szCs w:val="21"/>
                      <w:highlight w:val="none"/>
                      <w:lang w:val="en-US" w:eastAsia="zh-CN"/>
                    </w:rPr>
                    <w:t>，夜间50dB</w:t>
                  </w:r>
                  <w:r>
                    <w:rPr>
                      <w:rFonts w:hint="eastAsia" w:ascii="Times New Roman" w:hAnsi="Times New Roman" w:cs="Times New Roman"/>
                      <w:color w:val="auto"/>
                      <w:sz w:val="21"/>
                      <w:szCs w:val="21"/>
                      <w:highlight w:val="none"/>
                      <w:lang w:val="en-US" w:eastAsia="zh-CN"/>
                    </w:rPr>
                    <w:t>。</w:t>
                  </w:r>
                </w:p>
              </w:tc>
            </w:tr>
          </w:tbl>
          <w:p w14:paraId="70E54C9F">
            <w:pPr>
              <w:spacing w:line="360" w:lineRule="auto"/>
              <w:ind w:firstLine="480" w:firstLineChars="200"/>
              <w:rPr>
                <w:rFonts w:hint="eastAsia"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lang w:val="en-US" w:eastAsia="zh-CN"/>
              </w:rPr>
              <w:t>综上所述</w:t>
            </w:r>
            <w:r>
              <w:rPr>
                <w:rFonts w:hint="eastAsia" w:ascii="Times New Roman" w:hAnsi="Times New Roman" w:eastAsia="宋体" w:cs="Times New Roman"/>
                <w:color w:val="auto"/>
                <w:sz w:val="24"/>
                <w:highlight w:val="none"/>
                <w:lang w:val="zh-CN" w:eastAsia="zh-CN"/>
              </w:rPr>
              <w:t>，</w:t>
            </w:r>
            <w:r>
              <w:rPr>
                <w:rFonts w:hint="eastAsia" w:ascii="Times New Roman" w:hAnsi="Times New Roman" w:eastAsia="宋体" w:cs="Times New Roman"/>
                <w:color w:val="auto"/>
                <w:sz w:val="24"/>
                <w:highlight w:val="none"/>
                <w:lang w:val="en-US" w:eastAsia="zh-CN"/>
              </w:rPr>
              <w:t>敏感点环境噪声达到</w:t>
            </w:r>
            <w:r>
              <w:rPr>
                <w:rFonts w:hint="eastAsia" w:ascii="Times New Roman" w:hAnsi="Times New Roman" w:cs="Times New Roman"/>
                <w:color w:val="auto"/>
                <w:sz w:val="24"/>
                <w:highlight w:val="none"/>
                <w:lang w:val="en-US" w:eastAsia="zh-CN"/>
              </w:rPr>
              <w:t>《声环境质量标准》（GB3096-2008）</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类标准，厂界噪声达到《声环境质量标准》（GB3096-2008）3类标准。项目</w:t>
            </w:r>
            <w:r>
              <w:rPr>
                <w:rFonts w:hint="eastAsia" w:ascii="Times New Roman" w:hAnsi="Times New Roman" w:eastAsia="宋体" w:cs="Times New Roman"/>
                <w:color w:val="auto"/>
                <w:sz w:val="24"/>
                <w:highlight w:val="none"/>
                <w:lang w:val="zh-CN" w:eastAsia="zh-CN"/>
              </w:rPr>
              <w:t>不会对</w:t>
            </w:r>
            <w:r>
              <w:rPr>
                <w:rFonts w:hint="eastAsia" w:ascii="Times New Roman" w:hAnsi="Times New Roman" w:eastAsia="宋体" w:cs="Times New Roman"/>
                <w:color w:val="auto"/>
                <w:sz w:val="24"/>
                <w:highlight w:val="none"/>
                <w:lang w:val="en-US" w:eastAsia="zh-CN"/>
              </w:rPr>
              <w:t>敏感点</w:t>
            </w:r>
            <w:r>
              <w:rPr>
                <w:rFonts w:hint="eastAsia" w:ascii="Times New Roman" w:hAnsi="Times New Roman" w:eastAsia="宋体" w:cs="Times New Roman"/>
                <w:color w:val="auto"/>
                <w:sz w:val="24"/>
                <w:highlight w:val="none"/>
                <w:lang w:val="zh-CN" w:eastAsia="zh-CN"/>
              </w:rPr>
              <w:t>产生明显影响。</w:t>
            </w:r>
          </w:p>
          <w:p w14:paraId="2734FEF0">
            <w:pPr>
              <w:spacing w:before="120" w:beforeLines="50" w:line="360" w:lineRule="auto"/>
              <w:ind w:firstLine="482" w:firstLineChars="200"/>
              <w:rPr>
                <w:rFonts w:hint="eastAsia" w:eastAsia="宋体"/>
                <w:b/>
                <w:bCs/>
                <w:color w:val="auto"/>
                <w:sz w:val="24"/>
                <w:highlight w:val="none"/>
                <w:lang w:eastAsia="zh-CN"/>
              </w:rPr>
            </w:pPr>
            <w:r>
              <w:rPr>
                <w:rFonts w:hint="eastAsia"/>
                <w:b/>
                <w:bCs/>
                <w:color w:val="auto"/>
                <w:sz w:val="24"/>
                <w:highlight w:val="none"/>
              </w:rPr>
              <w:t>四、地下水和</w:t>
            </w:r>
            <w:r>
              <w:rPr>
                <w:b/>
                <w:bCs/>
                <w:color w:val="auto"/>
                <w:sz w:val="24"/>
                <w:highlight w:val="none"/>
              </w:rPr>
              <w:t>土壤环境现</w:t>
            </w:r>
          </w:p>
          <w:p w14:paraId="4F6DD805">
            <w:pPr>
              <w:spacing w:line="360" w:lineRule="auto"/>
              <w:ind w:firstLine="480" w:firstLineChars="200"/>
              <w:rPr>
                <w:rFonts w:hint="eastAsia" w:ascii="Times New Roman" w:hAnsi="Times New Roman" w:eastAsia="宋体" w:cs="Times New Roman"/>
                <w:color w:val="000000"/>
                <w:sz w:val="24"/>
                <w:highlight w:val="none"/>
                <w:lang w:eastAsia="zh-CN"/>
              </w:rPr>
            </w:pPr>
            <w:r>
              <w:rPr>
                <w:rFonts w:hint="eastAsia" w:ascii="Times New Roman" w:hAnsi="Times New Roman" w:eastAsia="宋体" w:cs="Times New Roman"/>
                <w:color w:val="000000"/>
                <w:sz w:val="24"/>
                <w:highlight w:val="none"/>
                <w:lang w:eastAsia="zh-CN"/>
              </w:rPr>
              <w:t>项目厂界外500米范围内没有地下水集中式饮用水水源和热水、矿泉水、温泉等特殊地下水资源；不属于未规划准保护区的集中式饮用水资源保护区以外的分布区等环境敏感区﹔项目不开采地下水，也不进行地下水的回灌。项目生产过程产生的污染物主要是</w:t>
            </w:r>
            <w:r>
              <w:rPr>
                <w:rFonts w:hint="eastAsia"/>
                <w:color w:val="000000"/>
                <w:sz w:val="24"/>
                <w:highlight w:val="none"/>
                <w:lang w:val="en-US" w:eastAsia="zh-CN"/>
              </w:rPr>
              <w:t>非甲烷总烃、TVOC、颗粒物、臭气浓度</w:t>
            </w:r>
            <w:r>
              <w:rPr>
                <w:rFonts w:hint="eastAsia" w:ascii="Times New Roman" w:hAnsi="Times New Roman" w:eastAsia="宋体" w:cs="Times New Roman"/>
                <w:color w:val="000000"/>
                <w:sz w:val="24"/>
                <w:highlight w:val="none"/>
                <w:lang w:eastAsia="zh-CN"/>
              </w:rPr>
              <w:t>，不涉及重金属污染因子；项目存在</w:t>
            </w:r>
            <w:r>
              <w:rPr>
                <w:rFonts w:hint="eastAsia" w:ascii="Times New Roman" w:hAnsi="Times New Roman" w:eastAsia="宋体" w:cs="Times New Roman"/>
                <w:color w:val="000000"/>
                <w:sz w:val="24"/>
                <w:highlight w:val="none"/>
                <w:lang w:val="en-US" w:eastAsia="zh-CN"/>
              </w:rPr>
              <w:t>大气沉降、</w:t>
            </w:r>
            <w:r>
              <w:rPr>
                <w:rFonts w:hint="eastAsia" w:ascii="Times New Roman" w:hAnsi="Times New Roman" w:eastAsia="宋体" w:cs="Times New Roman"/>
                <w:color w:val="000000"/>
                <w:sz w:val="24"/>
                <w:highlight w:val="none"/>
                <w:lang w:eastAsia="zh-CN"/>
              </w:rPr>
              <w:t>地面径流和垂直下渗污染源：部分生活污水可能下渗污染地下水、原辅材料、危险废物泄漏，进而污染地下水。项目厂区内地面已全部进行硬底化，且针对</w:t>
            </w:r>
            <w:r>
              <w:rPr>
                <w:rFonts w:hint="eastAsia" w:ascii="Times New Roman" w:hAnsi="Times New Roman" w:eastAsia="宋体" w:cs="Times New Roman"/>
                <w:color w:val="000000"/>
                <w:sz w:val="24"/>
                <w:highlight w:val="none"/>
                <w:lang w:val="en-US" w:eastAsia="zh-CN"/>
              </w:rPr>
              <w:t>原材料仓库、生产车间、废水储存罐、危废仓库等</w:t>
            </w:r>
            <w:r>
              <w:rPr>
                <w:rFonts w:hint="eastAsia" w:ascii="Times New Roman" w:hAnsi="Times New Roman" w:eastAsia="宋体" w:cs="Times New Roman"/>
                <w:color w:val="000000"/>
                <w:sz w:val="24"/>
                <w:highlight w:val="none"/>
                <w:lang w:eastAsia="zh-CN"/>
              </w:rPr>
              <w:t>区域已进行防渗处理。</w:t>
            </w:r>
            <w:r>
              <w:rPr>
                <w:rFonts w:hint="eastAsia" w:ascii="Times New Roman" w:hAnsi="Times New Roman" w:eastAsia="宋体" w:cs="Times New Roman"/>
                <w:color w:val="000000"/>
                <w:sz w:val="24"/>
                <w:highlight w:val="none"/>
                <w:lang w:val="en-US" w:eastAsia="zh-CN"/>
              </w:rPr>
              <w:t>原材料仓库分类存放，液态原料底部设置托盘；废水储存罐设置围堰、缓坡等措施；危废仓库分类存放，底部设置托盘；</w:t>
            </w:r>
            <w:r>
              <w:rPr>
                <w:rFonts w:hint="eastAsia" w:ascii="Times New Roman" w:hAnsi="Times New Roman" w:eastAsia="宋体" w:cs="Times New Roman"/>
                <w:color w:val="000000"/>
                <w:sz w:val="24"/>
                <w:highlight w:val="none"/>
                <w:lang w:eastAsia="zh-CN"/>
              </w:rPr>
              <w:t>做好上述措施后地下水垂直入渗影响不大。因此，不需要开展地下水环境质量现状调查。</w:t>
            </w:r>
          </w:p>
          <w:p w14:paraId="748DDBE9">
            <w:pPr>
              <w:spacing w:line="360" w:lineRule="auto"/>
              <w:ind w:firstLine="480" w:firstLineChars="200"/>
              <w:rPr>
                <w:rFonts w:hint="eastAsia" w:ascii="Times New Roman" w:hAnsi="Times New Roman" w:eastAsia="宋体" w:cs="Times New Roman"/>
                <w:color w:val="000000"/>
                <w:sz w:val="24"/>
                <w:highlight w:val="none"/>
                <w:lang w:val="en-US" w:eastAsia="zh-CN"/>
              </w:rPr>
            </w:pPr>
            <w:r>
              <w:rPr>
                <w:rFonts w:hint="eastAsia" w:ascii="Times New Roman" w:hAnsi="Times New Roman" w:eastAsia="宋体" w:cs="Times New Roman"/>
                <w:color w:val="000000"/>
                <w:sz w:val="24"/>
                <w:highlight w:val="none"/>
                <w:lang w:val="en-US" w:eastAsia="zh-CN"/>
              </w:rPr>
              <w:t>根据生态环境部“关于土壤破坏性监测问题”的回复，“根据建设项目实际情况，如果项目场地已经做了防腐防渗（包括硬化）处理无法取样，可不取样监测，但需详细说明无法取样原因”。根据广东省生态环境厅对“建设项目用地范围已全部硬底化，还要不要凿开采样”的回复，“若建设用地范围已全部硬底化不具备采样监测条件的，可采取拍照证明并在环评文件中体现，不进行厂区用地范围的土壤现状监测”。根据现场勘查，项目使用已建成的厂房，项目所在地范围内已全部采取混凝土硬地化。因此不具备占地范围内地下水和土壤监测条件，不进行厂区地下水和土壤环境现状监测。</w:t>
            </w:r>
          </w:p>
          <w:p w14:paraId="1755D272">
            <w:pPr>
              <w:spacing w:before="120" w:beforeLines="50" w:line="360" w:lineRule="auto"/>
              <w:ind w:firstLine="482" w:firstLineChars="200"/>
              <w:rPr>
                <w:rFonts w:hint="eastAsia"/>
                <w:b/>
                <w:bCs/>
                <w:color w:val="auto"/>
                <w:sz w:val="24"/>
                <w:highlight w:val="none"/>
              </w:rPr>
            </w:pPr>
            <w:r>
              <w:rPr>
                <w:rFonts w:hint="eastAsia"/>
                <w:b/>
                <w:bCs/>
                <w:color w:val="auto"/>
                <w:sz w:val="24"/>
                <w:highlight w:val="none"/>
              </w:rPr>
              <w:t>五、生态环境：</w:t>
            </w:r>
          </w:p>
          <w:p w14:paraId="3839F279">
            <w:pPr>
              <w:spacing w:line="360" w:lineRule="auto"/>
              <w:ind w:firstLine="480" w:firstLineChars="200"/>
              <w:rPr>
                <w:rFonts w:hint="eastAsia" w:eastAsia="宋体"/>
                <w:color w:val="auto"/>
                <w:kern w:val="0"/>
                <w:szCs w:val="21"/>
                <w:highlight w:val="none"/>
                <w:lang w:eastAsia="zh-CN"/>
              </w:rPr>
            </w:pPr>
            <w:r>
              <w:rPr>
                <w:rFonts w:hint="eastAsia"/>
                <w:color w:val="auto"/>
                <w:sz w:val="24"/>
                <w:highlight w:val="none"/>
              </w:rPr>
              <w:t>本项目是一类工业区，天然植被已不存在，主要植被为人工种植的绿化树种，本项目评价区域内未发现有水土流失现象，无国家珍稀动物植物分布</w:t>
            </w:r>
            <w:r>
              <w:rPr>
                <w:rFonts w:hint="eastAsia"/>
                <w:color w:val="auto"/>
                <w:sz w:val="24"/>
                <w:highlight w:val="none"/>
                <w:lang w:eastAsia="zh-CN"/>
              </w:rPr>
              <w:t>。</w:t>
            </w:r>
          </w:p>
        </w:tc>
      </w:tr>
      <w:tr w14:paraId="15F39E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529" w:type="dxa"/>
            <w:shd w:val="clear" w:color="auto" w:fill="auto"/>
            <w:vAlign w:val="center"/>
          </w:tcPr>
          <w:p w14:paraId="17842D70">
            <w:pPr>
              <w:adjustRightInd w:val="0"/>
              <w:snapToGrid w:val="0"/>
              <w:jc w:val="center"/>
              <w:rPr>
                <w:color w:val="auto"/>
                <w:kern w:val="0"/>
                <w:sz w:val="24"/>
                <w:highlight w:val="none"/>
              </w:rPr>
            </w:pPr>
            <w:r>
              <w:rPr>
                <w:color w:val="auto"/>
                <w:kern w:val="0"/>
                <w:sz w:val="24"/>
                <w:highlight w:val="none"/>
              </w:rPr>
              <w:t>环境</w:t>
            </w:r>
          </w:p>
          <w:p w14:paraId="3F80915E">
            <w:pPr>
              <w:adjustRightInd w:val="0"/>
              <w:snapToGrid w:val="0"/>
              <w:jc w:val="center"/>
              <w:rPr>
                <w:color w:val="auto"/>
                <w:kern w:val="0"/>
                <w:sz w:val="24"/>
                <w:highlight w:val="none"/>
              </w:rPr>
            </w:pPr>
            <w:r>
              <w:rPr>
                <w:color w:val="auto"/>
                <w:kern w:val="0"/>
                <w:sz w:val="24"/>
                <w:highlight w:val="none"/>
              </w:rPr>
              <w:t>保护</w:t>
            </w:r>
          </w:p>
          <w:p w14:paraId="5E014DB7">
            <w:pPr>
              <w:adjustRightInd w:val="0"/>
              <w:snapToGrid w:val="0"/>
              <w:jc w:val="center"/>
              <w:rPr>
                <w:color w:val="auto"/>
                <w:kern w:val="0"/>
                <w:szCs w:val="21"/>
                <w:highlight w:val="none"/>
              </w:rPr>
            </w:pPr>
            <w:r>
              <w:rPr>
                <w:color w:val="auto"/>
                <w:kern w:val="0"/>
                <w:sz w:val="24"/>
                <w:highlight w:val="none"/>
              </w:rPr>
              <w:t>目标</w:t>
            </w:r>
          </w:p>
        </w:tc>
        <w:tc>
          <w:tcPr>
            <w:tcW w:w="8501" w:type="dxa"/>
            <w:shd w:val="clear" w:color="auto" w:fill="auto"/>
            <w:vAlign w:val="center"/>
          </w:tcPr>
          <w:p w14:paraId="009A3C6D">
            <w:pPr>
              <w:spacing w:before="120" w:beforeLines="50" w:line="360" w:lineRule="auto"/>
              <w:ind w:firstLine="482" w:firstLineChars="200"/>
              <w:rPr>
                <w:b/>
                <w:bCs/>
                <w:color w:val="auto"/>
                <w:sz w:val="24"/>
                <w:highlight w:val="none"/>
              </w:rPr>
            </w:pPr>
            <w:r>
              <w:rPr>
                <w:b/>
                <w:bCs/>
                <w:color w:val="auto"/>
                <w:sz w:val="24"/>
                <w:highlight w:val="none"/>
              </w:rPr>
              <w:t>1、水环境保护目标</w:t>
            </w:r>
          </w:p>
          <w:p w14:paraId="29A5BE04">
            <w:pPr>
              <w:adjustRightInd w:val="0"/>
              <w:spacing w:line="360" w:lineRule="auto"/>
              <w:ind w:firstLine="482"/>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水环境保护目标是在本项目建成后周围的河流水质不受明显的影响，</w:t>
            </w:r>
            <w:r>
              <w:rPr>
                <w:rFonts w:hint="eastAsia" w:ascii="Times New Roman" w:hAnsi="Times New Roman" w:eastAsia="宋体" w:cs="Times New Roman"/>
                <w:color w:val="auto"/>
                <w:sz w:val="24"/>
                <w:highlight w:val="none"/>
                <w:lang w:val="en-US" w:eastAsia="zh-CN"/>
              </w:rPr>
              <w:t>确保</w:t>
            </w:r>
            <w:r>
              <w:rPr>
                <w:rFonts w:hint="default"/>
                <w:color w:val="auto"/>
                <w:sz w:val="24"/>
                <w:highlight w:val="none"/>
              </w:rPr>
              <w:t>纳污河中心排河的水环境质量符合《地表水环境质量标准》（GB3838-2002）的Ⅳ类标准。</w:t>
            </w:r>
          </w:p>
          <w:p w14:paraId="11577DF5">
            <w:pPr>
              <w:spacing w:before="120" w:beforeLines="50" w:line="360" w:lineRule="auto"/>
              <w:ind w:firstLine="482" w:firstLineChars="200"/>
              <w:rPr>
                <w:b/>
                <w:bCs/>
                <w:color w:val="auto"/>
                <w:sz w:val="24"/>
                <w:highlight w:val="none"/>
              </w:rPr>
            </w:pPr>
            <w:r>
              <w:rPr>
                <w:b/>
                <w:bCs/>
                <w:color w:val="auto"/>
                <w:sz w:val="24"/>
                <w:highlight w:val="none"/>
              </w:rPr>
              <w:t>2、大气环境保护目标</w:t>
            </w:r>
          </w:p>
          <w:p w14:paraId="6C285D5B">
            <w:pPr>
              <w:spacing w:line="360" w:lineRule="auto"/>
              <w:ind w:firstLine="480" w:firstLineChars="200"/>
              <w:rPr>
                <w:color w:val="auto"/>
                <w:sz w:val="24"/>
                <w:highlight w:val="none"/>
              </w:rPr>
            </w:pPr>
            <w:r>
              <w:rPr>
                <w:color w:val="auto"/>
                <w:sz w:val="24"/>
                <w:highlight w:val="none"/>
              </w:rPr>
              <w:t>本项目厂界外500米处范围内大气环境保护目标如下表所示。</w:t>
            </w:r>
          </w:p>
          <w:p w14:paraId="56AF3187">
            <w:pPr>
              <w:pStyle w:val="95"/>
              <w:spacing w:before="120"/>
              <w:rPr>
                <w:b/>
                <w:bCs/>
                <w:color w:val="auto"/>
                <w:sz w:val="21"/>
                <w:szCs w:val="21"/>
                <w:highlight w:val="none"/>
              </w:rPr>
            </w:pPr>
            <w:r>
              <w:rPr>
                <w:b/>
                <w:bCs/>
                <w:color w:val="auto"/>
                <w:sz w:val="21"/>
                <w:szCs w:val="21"/>
                <w:highlight w:val="none"/>
              </w:rPr>
              <w:t>建设项目大气环境敏感点一览表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26"/>
              <w:gridCol w:w="695"/>
              <w:gridCol w:w="1440"/>
              <w:gridCol w:w="1354"/>
              <w:gridCol w:w="791"/>
              <w:gridCol w:w="693"/>
              <w:gridCol w:w="516"/>
              <w:gridCol w:w="1193"/>
              <w:gridCol w:w="970"/>
            </w:tblGrid>
            <w:tr w14:paraId="4A89E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06" w:hRule="atLeast"/>
                <w:jc w:val="center"/>
              </w:trPr>
              <w:tc>
                <w:tcPr>
                  <w:tcW w:w="626" w:type="dxa"/>
                  <w:vMerge w:val="restart"/>
                  <w:tcBorders>
                    <w:top w:val="single" w:color="auto" w:sz="4" w:space="0"/>
                    <w:left w:val="single" w:color="auto" w:sz="4" w:space="0"/>
                    <w:right w:val="single" w:color="auto" w:sz="4" w:space="0"/>
                  </w:tcBorders>
                  <w:shd w:val="clear" w:color="auto" w:fill="auto"/>
                  <w:vAlign w:val="center"/>
                </w:tcPr>
                <w:p w14:paraId="4F7F522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所属地区</w:t>
                  </w:r>
                </w:p>
              </w:tc>
              <w:tc>
                <w:tcPr>
                  <w:tcW w:w="695" w:type="dxa"/>
                  <w:vMerge w:val="restart"/>
                  <w:tcBorders>
                    <w:top w:val="single" w:color="auto" w:sz="4" w:space="0"/>
                    <w:left w:val="single" w:color="auto" w:sz="4" w:space="0"/>
                    <w:right w:val="single" w:color="auto" w:sz="4" w:space="0"/>
                  </w:tcBorders>
                  <w:shd w:val="clear" w:color="auto" w:fill="auto"/>
                  <w:vAlign w:val="center"/>
                </w:tcPr>
                <w:p w14:paraId="3FA8B40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敏感点名称</w:t>
                  </w:r>
                </w:p>
              </w:tc>
              <w:tc>
                <w:tcPr>
                  <w:tcW w:w="2794"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3848EE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坐标</w:t>
                  </w:r>
                </w:p>
              </w:tc>
              <w:tc>
                <w:tcPr>
                  <w:tcW w:w="791" w:type="dxa"/>
                  <w:vMerge w:val="restart"/>
                  <w:tcBorders>
                    <w:top w:val="single" w:color="auto" w:sz="4" w:space="0"/>
                    <w:left w:val="single" w:color="auto" w:sz="4" w:space="0"/>
                    <w:right w:val="single" w:color="auto" w:sz="4" w:space="0"/>
                  </w:tcBorders>
                  <w:shd w:val="clear" w:color="auto" w:fill="auto"/>
                  <w:vAlign w:val="center"/>
                </w:tcPr>
                <w:p w14:paraId="60FC865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保护对象</w:t>
                  </w:r>
                </w:p>
              </w:tc>
              <w:tc>
                <w:tcPr>
                  <w:tcW w:w="693" w:type="dxa"/>
                  <w:vMerge w:val="restart"/>
                  <w:tcBorders>
                    <w:top w:val="single" w:color="auto" w:sz="4" w:space="0"/>
                    <w:left w:val="single" w:color="auto" w:sz="4" w:space="0"/>
                    <w:right w:val="single" w:color="auto" w:sz="4" w:space="0"/>
                  </w:tcBorders>
                  <w:shd w:val="clear" w:color="auto" w:fill="auto"/>
                  <w:vAlign w:val="center"/>
                </w:tcPr>
                <w:p w14:paraId="6134BF5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保护内容</w:t>
                  </w:r>
                </w:p>
              </w:tc>
              <w:tc>
                <w:tcPr>
                  <w:tcW w:w="516" w:type="dxa"/>
                  <w:vMerge w:val="restart"/>
                  <w:tcBorders>
                    <w:top w:val="single" w:color="auto" w:sz="4" w:space="0"/>
                    <w:left w:val="single" w:color="auto" w:sz="4" w:space="0"/>
                    <w:right w:val="single" w:color="auto" w:sz="4" w:space="0"/>
                  </w:tcBorders>
                  <w:shd w:val="clear" w:color="auto" w:fill="auto"/>
                  <w:vAlign w:val="center"/>
                </w:tcPr>
                <w:p w14:paraId="1F74B1B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环境功能区</w:t>
                  </w:r>
                </w:p>
              </w:tc>
              <w:tc>
                <w:tcPr>
                  <w:tcW w:w="1193" w:type="dxa"/>
                  <w:vMerge w:val="restart"/>
                  <w:tcBorders>
                    <w:top w:val="single" w:color="auto" w:sz="4" w:space="0"/>
                    <w:left w:val="single" w:color="auto" w:sz="4" w:space="0"/>
                    <w:right w:val="single" w:color="auto" w:sz="4" w:space="0"/>
                  </w:tcBorders>
                  <w:shd w:val="clear" w:color="auto" w:fill="auto"/>
                  <w:vAlign w:val="center"/>
                </w:tcPr>
                <w:p w14:paraId="674FF36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相对厂址方位</w:t>
                  </w:r>
                </w:p>
              </w:tc>
              <w:tc>
                <w:tcPr>
                  <w:tcW w:w="970" w:type="dxa"/>
                  <w:vMerge w:val="restart"/>
                  <w:tcBorders>
                    <w:top w:val="single" w:color="auto" w:sz="4" w:space="0"/>
                    <w:left w:val="single" w:color="auto" w:sz="4" w:space="0"/>
                    <w:right w:val="single" w:color="auto" w:sz="4" w:space="0"/>
                  </w:tcBorders>
                  <w:shd w:val="clear" w:color="auto" w:fill="auto"/>
                  <w:vAlign w:val="center"/>
                </w:tcPr>
                <w:p w14:paraId="651010A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相对厂界距离/m</w:t>
                  </w:r>
                </w:p>
              </w:tc>
            </w:tr>
            <w:tr w14:paraId="6D177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626" w:type="dxa"/>
                  <w:vMerge w:val="continue"/>
                  <w:tcBorders>
                    <w:left w:val="single" w:color="auto" w:sz="4" w:space="0"/>
                    <w:bottom w:val="single" w:color="auto" w:sz="4" w:space="0"/>
                    <w:right w:val="single" w:color="auto" w:sz="4" w:space="0"/>
                  </w:tcBorders>
                  <w:shd w:val="clear" w:color="auto" w:fill="auto"/>
                  <w:vAlign w:val="center"/>
                </w:tcPr>
                <w:p w14:paraId="2DF822C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c>
                <w:tcPr>
                  <w:tcW w:w="695" w:type="dxa"/>
                  <w:vMerge w:val="continue"/>
                  <w:tcBorders>
                    <w:left w:val="single" w:color="auto" w:sz="4" w:space="0"/>
                    <w:bottom w:val="single" w:color="auto" w:sz="4" w:space="0"/>
                    <w:right w:val="single" w:color="auto" w:sz="4" w:space="0"/>
                  </w:tcBorders>
                  <w:shd w:val="clear" w:color="auto" w:fill="auto"/>
                  <w:vAlign w:val="center"/>
                </w:tcPr>
                <w:p w14:paraId="0FB0B8C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c>
                <w:tcPr>
                  <w:tcW w:w="1440" w:type="dxa"/>
                  <w:tcBorders>
                    <w:top w:val="single" w:color="auto" w:sz="4" w:space="0"/>
                    <w:left w:val="single" w:color="auto" w:sz="4" w:space="0"/>
                    <w:bottom w:val="single" w:color="auto" w:sz="4" w:space="0"/>
                    <w:right w:val="single" w:color="auto" w:sz="4" w:space="0"/>
                  </w:tcBorders>
                  <w:shd w:val="clear" w:color="auto" w:fill="auto"/>
                  <w:vAlign w:val="center"/>
                </w:tcPr>
                <w:p w14:paraId="219C614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X</w:t>
                  </w:r>
                </w:p>
              </w:tc>
              <w:tc>
                <w:tcPr>
                  <w:tcW w:w="1354" w:type="dxa"/>
                  <w:tcBorders>
                    <w:top w:val="single" w:color="auto" w:sz="4" w:space="0"/>
                    <w:left w:val="single" w:color="auto" w:sz="4" w:space="0"/>
                    <w:bottom w:val="single" w:color="auto" w:sz="4" w:space="0"/>
                    <w:right w:val="single" w:color="auto" w:sz="4" w:space="0"/>
                  </w:tcBorders>
                  <w:shd w:val="clear" w:color="auto" w:fill="auto"/>
                  <w:vAlign w:val="center"/>
                </w:tcPr>
                <w:p w14:paraId="7B1B0B4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Y</w:t>
                  </w:r>
                </w:p>
              </w:tc>
              <w:tc>
                <w:tcPr>
                  <w:tcW w:w="791" w:type="dxa"/>
                  <w:vMerge w:val="continue"/>
                  <w:tcBorders>
                    <w:left w:val="single" w:color="auto" w:sz="4" w:space="0"/>
                    <w:bottom w:val="single" w:color="auto" w:sz="4" w:space="0"/>
                    <w:right w:val="single" w:color="auto" w:sz="4" w:space="0"/>
                  </w:tcBorders>
                  <w:shd w:val="clear" w:color="auto" w:fill="auto"/>
                  <w:vAlign w:val="center"/>
                </w:tcPr>
                <w:p w14:paraId="14F1896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c>
                <w:tcPr>
                  <w:tcW w:w="693" w:type="dxa"/>
                  <w:vMerge w:val="continue"/>
                  <w:tcBorders>
                    <w:left w:val="single" w:color="auto" w:sz="4" w:space="0"/>
                    <w:bottom w:val="single" w:color="auto" w:sz="4" w:space="0"/>
                    <w:right w:val="single" w:color="auto" w:sz="4" w:space="0"/>
                  </w:tcBorders>
                  <w:shd w:val="clear" w:color="auto" w:fill="auto"/>
                  <w:vAlign w:val="center"/>
                </w:tcPr>
                <w:p w14:paraId="5E7EC0A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c>
                <w:tcPr>
                  <w:tcW w:w="516" w:type="dxa"/>
                  <w:vMerge w:val="continue"/>
                  <w:tcBorders>
                    <w:left w:val="single" w:color="auto" w:sz="4" w:space="0"/>
                    <w:bottom w:val="single" w:color="auto" w:sz="4" w:space="0"/>
                    <w:right w:val="single" w:color="auto" w:sz="4" w:space="0"/>
                  </w:tcBorders>
                  <w:shd w:val="clear" w:color="auto" w:fill="auto"/>
                  <w:vAlign w:val="center"/>
                </w:tcPr>
                <w:p w14:paraId="4DD6E5A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c>
                <w:tcPr>
                  <w:tcW w:w="1193" w:type="dxa"/>
                  <w:vMerge w:val="continue"/>
                  <w:tcBorders>
                    <w:left w:val="single" w:color="auto" w:sz="4" w:space="0"/>
                    <w:bottom w:val="single" w:color="auto" w:sz="4" w:space="0"/>
                    <w:right w:val="single" w:color="auto" w:sz="4" w:space="0"/>
                  </w:tcBorders>
                  <w:shd w:val="clear" w:color="auto" w:fill="auto"/>
                  <w:vAlign w:val="center"/>
                </w:tcPr>
                <w:p w14:paraId="430B8AC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c>
                <w:tcPr>
                  <w:tcW w:w="970" w:type="dxa"/>
                  <w:vMerge w:val="continue"/>
                  <w:tcBorders>
                    <w:left w:val="single" w:color="auto" w:sz="4" w:space="0"/>
                    <w:bottom w:val="single" w:color="auto" w:sz="4" w:space="0"/>
                    <w:right w:val="single" w:color="auto" w:sz="4" w:space="0"/>
                  </w:tcBorders>
                  <w:shd w:val="clear" w:color="auto" w:fill="auto"/>
                  <w:vAlign w:val="center"/>
                </w:tcPr>
                <w:p w14:paraId="77A7D2F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
                      <w:color w:val="auto"/>
                      <w:sz w:val="21"/>
                      <w:szCs w:val="21"/>
                      <w:highlight w:val="none"/>
                    </w:rPr>
                  </w:pPr>
                </w:p>
              </w:tc>
            </w:tr>
            <w:tr w14:paraId="40FCF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dxa"/>
                  <w:vMerge w:val="restart"/>
                  <w:tcBorders>
                    <w:top w:val="single" w:color="auto" w:sz="4" w:space="0"/>
                    <w:left w:val="single" w:color="auto" w:sz="4" w:space="0"/>
                    <w:right w:val="single" w:color="auto" w:sz="4" w:space="0"/>
                  </w:tcBorders>
                  <w:shd w:val="clear" w:color="auto" w:fill="auto"/>
                  <w:vAlign w:val="center"/>
                </w:tcPr>
                <w:p w14:paraId="009967E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中山市</w:t>
                  </w:r>
                </w:p>
              </w:tc>
              <w:tc>
                <w:tcPr>
                  <w:tcW w:w="695" w:type="dxa"/>
                  <w:tcBorders>
                    <w:top w:val="single" w:color="auto" w:sz="4" w:space="0"/>
                    <w:left w:val="single" w:color="auto" w:sz="4" w:space="0"/>
                    <w:right w:val="single" w:color="auto" w:sz="4" w:space="0"/>
                  </w:tcBorders>
                  <w:shd w:val="clear" w:color="auto" w:fill="auto"/>
                  <w:vAlign w:val="center"/>
                </w:tcPr>
                <w:p w14:paraId="1D34B3E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居民公寓</w:t>
                  </w:r>
                </w:p>
              </w:tc>
              <w:tc>
                <w:tcPr>
                  <w:tcW w:w="1440" w:type="dxa"/>
                  <w:tcBorders>
                    <w:top w:val="single" w:color="auto" w:sz="4" w:space="0"/>
                    <w:left w:val="single" w:color="auto" w:sz="4" w:space="0"/>
                    <w:right w:val="single" w:color="auto" w:sz="4" w:space="0"/>
                  </w:tcBorders>
                  <w:shd w:val="clear" w:color="auto" w:fill="auto"/>
                  <w:vAlign w:val="center"/>
                </w:tcPr>
                <w:p w14:paraId="14CB976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olor w:val="auto"/>
                    </w:rPr>
                    <w:t>113.256158</w:t>
                  </w:r>
                </w:p>
              </w:tc>
              <w:tc>
                <w:tcPr>
                  <w:tcW w:w="1354" w:type="dxa"/>
                  <w:tcBorders>
                    <w:top w:val="single" w:color="auto" w:sz="4" w:space="0"/>
                    <w:left w:val="single" w:color="auto" w:sz="4" w:space="0"/>
                    <w:right w:val="single" w:color="auto" w:sz="4" w:space="0"/>
                  </w:tcBorders>
                  <w:shd w:val="clear" w:color="auto" w:fill="auto"/>
                  <w:vAlign w:val="center"/>
                </w:tcPr>
                <w:p w14:paraId="2FE45D9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22.722274</w:t>
                  </w:r>
                </w:p>
              </w:tc>
              <w:tc>
                <w:tcPr>
                  <w:tcW w:w="791" w:type="dxa"/>
                  <w:tcBorders>
                    <w:left w:val="single" w:color="auto" w:sz="4" w:space="0"/>
                    <w:right w:val="single" w:color="auto" w:sz="4" w:space="0"/>
                  </w:tcBorders>
                  <w:shd w:val="clear" w:color="auto" w:fill="auto"/>
                  <w:vAlign w:val="center"/>
                </w:tcPr>
                <w:p w14:paraId="5CA9D25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居民</w:t>
                  </w:r>
                </w:p>
              </w:tc>
              <w:tc>
                <w:tcPr>
                  <w:tcW w:w="693" w:type="dxa"/>
                  <w:vMerge w:val="restart"/>
                  <w:tcBorders>
                    <w:left w:val="single" w:color="auto" w:sz="4" w:space="0"/>
                    <w:right w:val="single" w:color="auto" w:sz="4" w:space="0"/>
                  </w:tcBorders>
                  <w:shd w:val="clear" w:color="auto" w:fill="auto"/>
                  <w:vAlign w:val="center"/>
                </w:tcPr>
                <w:p w14:paraId="66EBC40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rPr>
                    <w:t>不受大气污染影响</w:t>
                  </w:r>
                </w:p>
              </w:tc>
              <w:tc>
                <w:tcPr>
                  <w:tcW w:w="516" w:type="dxa"/>
                  <w:vMerge w:val="restart"/>
                  <w:tcBorders>
                    <w:top w:val="single" w:color="auto" w:sz="4" w:space="0"/>
                    <w:left w:val="single" w:color="auto" w:sz="4" w:space="0"/>
                    <w:right w:val="single" w:color="auto" w:sz="4" w:space="0"/>
                  </w:tcBorders>
                  <w:shd w:val="clear" w:color="auto" w:fill="auto"/>
                  <w:vAlign w:val="center"/>
                </w:tcPr>
                <w:p w14:paraId="78243F9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二类区</w:t>
                  </w:r>
                </w:p>
              </w:tc>
              <w:tc>
                <w:tcPr>
                  <w:tcW w:w="1193" w:type="dxa"/>
                  <w:tcBorders>
                    <w:top w:val="single" w:color="auto" w:sz="4" w:space="0"/>
                    <w:left w:val="single" w:color="auto" w:sz="4" w:space="0"/>
                    <w:right w:val="single" w:color="auto" w:sz="4" w:space="0"/>
                  </w:tcBorders>
                  <w:shd w:val="clear" w:color="auto" w:fill="auto"/>
                  <w:vAlign w:val="center"/>
                </w:tcPr>
                <w:p w14:paraId="6C76856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西北</w:t>
                  </w:r>
                  <w:r>
                    <w:rPr>
                      <w:rFonts w:hint="eastAsia" w:ascii="Times New Roman" w:hAnsi="Times New Roman" w:eastAsia="宋体" w:cs="Times New Roman"/>
                      <w:bCs/>
                      <w:color w:val="auto"/>
                      <w:sz w:val="21"/>
                      <w:szCs w:val="21"/>
                      <w:highlight w:val="none"/>
                      <w:lang w:val="en-US" w:eastAsia="zh-CN"/>
                    </w:rPr>
                    <w:t>面</w:t>
                  </w:r>
                </w:p>
              </w:tc>
              <w:tc>
                <w:tcPr>
                  <w:tcW w:w="970" w:type="dxa"/>
                  <w:tcBorders>
                    <w:top w:val="single" w:color="auto" w:sz="4" w:space="0"/>
                    <w:left w:val="single" w:color="auto" w:sz="4" w:space="0"/>
                    <w:bottom w:val="single" w:color="auto" w:sz="4" w:space="0"/>
                    <w:right w:val="single" w:color="auto" w:sz="4" w:space="0"/>
                  </w:tcBorders>
                  <w:shd w:val="clear" w:color="auto" w:fill="auto"/>
                  <w:vAlign w:val="center"/>
                </w:tcPr>
                <w:p w14:paraId="582DCF9D">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30</w:t>
                  </w:r>
                </w:p>
              </w:tc>
            </w:tr>
            <w:tr w14:paraId="2D7D0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626" w:type="dxa"/>
                  <w:vMerge w:val="continue"/>
                  <w:tcBorders>
                    <w:left w:val="single" w:color="auto" w:sz="4" w:space="0"/>
                    <w:right w:val="single" w:color="auto" w:sz="4" w:space="0"/>
                  </w:tcBorders>
                  <w:shd w:val="clear" w:color="auto" w:fill="auto"/>
                  <w:vAlign w:val="center"/>
                </w:tcPr>
                <w:p w14:paraId="2AAA122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color w:val="auto"/>
                      <w:kern w:val="0"/>
                      <w:sz w:val="21"/>
                      <w:szCs w:val="21"/>
                      <w:highlight w:val="none"/>
                    </w:rPr>
                  </w:pP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14:paraId="46ABE54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民乐社区</w:t>
                  </w:r>
                </w:p>
              </w:tc>
              <w:tc>
                <w:tcPr>
                  <w:tcW w:w="1440" w:type="dxa"/>
                  <w:tcBorders>
                    <w:top w:val="single" w:color="auto" w:sz="4" w:space="0"/>
                    <w:left w:val="single" w:color="auto" w:sz="4" w:space="0"/>
                    <w:bottom w:val="single" w:color="auto" w:sz="4" w:space="0"/>
                    <w:right w:val="single" w:color="auto" w:sz="4" w:space="0"/>
                  </w:tcBorders>
                  <w:shd w:val="clear" w:color="auto" w:fill="auto"/>
                  <w:vAlign w:val="center"/>
                </w:tcPr>
                <w:p w14:paraId="25F9912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olor w:val="auto"/>
                    </w:rPr>
                    <w:t>113.255595</w:t>
                  </w:r>
                </w:p>
              </w:tc>
              <w:tc>
                <w:tcPr>
                  <w:tcW w:w="1354" w:type="dxa"/>
                  <w:tcBorders>
                    <w:top w:val="single" w:color="auto" w:sz="4" w:space="0"/>
                    <w:left w:val="single" w:color="auto" w:sz="4" w:space="0"/>
                    <w:bottom w:val="single" w:color="auto" w:sz="4" w:space="0"/>
                    <w:right w:val="single" w:color="auto" w:sz="4" w:space="0"/>
                  </w:tcBorders>
                  <w:shd w:val="clear" w:color="auto" w:fill="auto"/>
                  <w:vAlign w:val="center"/>
                </w:tcPr>
                <w:p w14:paraId="32368A5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22.723428</w:t>
                  </w:r>
                </w:p>
              </w:tc>
              <w:tc>
                <w:tcPr>
                  <w:tcW w:w="791" w:type="dxa"/>
                  <w:tcBorders>
                    <w:left w:val="single" w:color="auto" w:sz="4" w:space="0"/>
                    <w:right w:val="single" w:color="auto" w:sz="4" w:space="0"/>
                  </w:tcBorders>
                  <w:shd w:val="clear" w:color="auto" w:fill="auto"/>
                  <w:vAlign w:val="center"/>
                </w:tcPr>
                <w:p w14:paraId="3198EEE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w:t>
                  </w:r>
                </w:p>
              </w:tc>
              <w:tc>
                <w:tcPr>
                  <w:tcW w:w="693" w:type="dxa"/>
                  <w:vMerge w:val="continue"/>
                  <w:tcBorders>
                    <w:left w:val="single" w:color="auto" w:sz="4" w:space="0"/>
                    <w:right w:val="single" w:color="auto" w:sz="4" w:space="0"/>
                  </w:tcBorders>
                  <w:shd w:val="clear" w:color="auto" w:fill="auto"/>
                  <w:vAlign w:val="center"/>
                </w:tcPr>
                <w:p w14:paraId="780DCD5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516" w:type="dxa"/>
                  <w:vMerge w:val="continue"/>
                  <w:tcBorders>
                    <w:left w:val="single" w:color="auto" w:sz="4" w:space="0"/>
                    <w:right w:val="single" w:color="auto" w:sz="4" w:space="0"/>
                  </w:tcBorders>
                  <w:shd w:val="clear" w:color="auto" w:fill="auto"/>
                  <w:vAlign w:val="center"/>
                </w:tcPr>
                <w:p w14:paraId="5D729DB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193" w:type="dxa"/>
                  <w:tcBorders>
                    <w:top w:val="single" w:color="auto" w:sz="4" w:space="0"/>
                    <w:left w:val="single" w:color="auto" w:sz="4" w:space="0"/>
                    <w:bottom w:val="single" w:color="auto" w:sz="4" w:space="0"/>
                    <w:right w:val="single" w:color="auto" w:sz="4" w:space="0"/>
                  </w:tcBorders>
                  <w:shd w:val="clear" w:color="auto" w:fill="auto"/>
                  <w:vAlign w:val="center"/>
                </w:tcPr>
                <w:p w14:paraId="0DCC11D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东面、东南面、西北面、东北面</w:t>
                  </w:r>
                </w:p>
              </w:tc>
              <w:tc>
                <w:tcPr>
                  <w:tcW w:w="970" w:type="dxa"/>
                  <w:tcBorders>
                    <w:top w:val="single" w:color="auto" w:sz="4" w:space="0"/>
                    <w:left w:val="single" w:color="auto" w:sz="4" w:space="0"/>
                    <w:bottom w:val="single" w:color="auto" w:sz="4" w:space="0"/>
                    <w:right w:val="single" w:color="auto" w:sz="4" w:space="0"/>
                  </w:tcBorders>
                  <w:shd w:val="clear" w:color="auto" w:fill="auto"/>
                  <w:vAlign w:val="center"/>
                </w:tcPr>
                <w:p w14:paraId="492A6D6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115</w:t>
                  </w:r>
                </w:p>
              </w:tc>
            </w:tr>
            <w:tr w14:paraId="0EA88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626" w:type="dxa"/>
                  <w:vMerge w:val="continue"/>
                  <w:tcBorders>
                    <w:left w:val="single" w:color="auto" w:sz="4" w:space="0"/>
                    <w:right w:val="single" w:color="auto" w:sz="4" w:space="0"/>
                  </w:tcBorders>
                  <w:shd w:val="clear" w:color="auto" w:fill="auto"/>
                  <w:vAlign w:val="center"/>
                </w:tcPr>
                <w:p w14:paraId="15CC523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
                      <w:color w:val="auto"/>
                      <w:kern w:val="0"/>
                      <w:sz w:val="21"/>
                      <w:szCs w:val="21"/>
                      <w:highlight w:val="none"/>
                    </w:rPr>
                  </w:pP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14:paraId="16CD51FE">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安乐社区</w:t>
                  </w:r>
                </w:p>
              </w:tc>
              <w:tc>
                <w:tcPr>
                  <w:tcW w:w="1440" w:type="dxa"/>
                  <w:tcBorders>
                    <w:top w:val="single" w:color="auto" w:sz="4" w:space="0"/>
                    <w:left w:val="single" w:color="auto" w:sz="4" w:space="0"/>
                    <w:bottom w:val="single" w:color="auto" w:sz="4" w:space="0"/>
                    <w:right w:val="single" w:color="auto" w:sz="4" w:space="0"/>
                  </w:tcBorders>
                  <w:shd w:val="clear" w:color="auto" w:fill="auto"/>
                  <w:vAlign w:val="center"/>
                </w:tcPr>
                <w:p w14:paraId="3F70EEBA">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olor w:val="auto"/>
                    </w:rPr>
                    <w:t>113.254066</w:t>
                  </w:r>
                </w:p>
              </w:tc>
              <w:tc>
                <w:tcPr>
                  <w:tcW w:w="1354" w:type="dxa"/>
                  <w:tcBorders>
                    <w:top w:val="single" w:color="auto" w:sz="4" w:space="0"/>
                    <w:left w:val="single" w:color="auto" w:sz="4" w:space="0"/>
                    <w:bottom w:val="single" w:color="auto" w:sz="4" w:space="0"/>
                    <w:right w:val="single" w:color="auto" w:sz="4" w:space="0"/>
                  </w:tcBorders>
                  <w:shd w:val="clear" w:color="auto" w:fill="auto"/>
                  <w:vAlign w:val="center"/>
                </w:tcPr>
                <w:p w14:paraId="30DE5CE2">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22.722446</w:t>
                  </w:r>
                </w:p>
              </w:tc>
              <w:tc>
                <w:tcPr>
                  <w:tcW w:w="791" w:type="dxa"/>
                  <w:tcBorders>
                    <w:left w:val="single" w:color="auto" w:sz="4" w:space="0"/>
                    <w:right w:val="single" w:color="auto" w:sz="4" w:space="0"/>
                  </w:tcBorders>
                  <w:shd w:val="clear" w:color="auto" w:fill="auto"/>
                  <w:vAlign w:val="center"/>
                </w:tcPr>
                <w:p w14:paraId="31A8EC4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w:t>
                  </w:r>
                </w:p>
              </w:tc>
              <w:tc>
                <w:tcPr>
                  <w:tcW w:w="693" w:type="dxa"/>
                  <w:vMerge w:val="continue"/>
                  <w:tcBorders>
                    <w:left w:val="single" w:color="auto" w:sz="4" w:space="0"/>
                    <w:right w:val="single" w:color="auto" w:sz="4" w:space="0"/>
                  </w:tcBorders>
                  <w:shd w:val="clear" w:color="auto" w:fill="auto"/>
                  <w:vAlign w:val="center"/>
                </w:tcPr>
                <w:p w14:paraId="0DE5D9E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516" w:type="dxa"/>
                  <w:vMerge w:val="continue"/>
                  <w:tcBorders>
                    <w:left w:val="single" w:color="auto" w:sz="4" w:space="0"/>
                    <w:right w:val="single" w:color="auto" w:sz="4" w:space="0"/>
                  </w:tcBorders>
                  <w:shd w:val="clear" w:color="auto" w:fill="auto"/>
                  <w:vAlign w:val="center"/>
                </w:tcPr>
                <w:p w14:paraId="6A42ACF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rPr>
                  </w:pPr>
                </w:p>
              </w:tc>
              <w:tc>
                <w:tcPr>
                  <w:tcW w:w="1193" w:type="dxa"/>
                  <w:tcBorders>
                    <w:top w:val="single" w:color="auto" w:sz="4" w:space="0"/>
                    <w:left w:val="single" w:color="auto" w:sz="4" w:space="0"/>
                    <w:bottom w:val="single" w:color="auto" w:sz="4" w:space="0"/>
                    <w:right w:val="single" w:color="auto" w:sz="4" w:space="0"/>
                  </w:tcBorders>
                  <w:shd w:val="clear" w:color="auto" w:fill="auto"/>
                  <w:vAlign w:val="center"/>
                </w:tcPr>
                <w:p w14:paraId="4BE54D9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西南面、南面</w:t>
                  </w:r>
                </w:p>
              </w:tc>
              <w:tc>
                <w:tcPr>
                  <w:tcW w:w="970" w:type="dxa"/>
                  <w:tcBorders>
                    <w:top w:val="single" w:color="auto" w:sz="4" w:space="0"/>
                    <w:left w:val="single" w:color="auto" w:sz="4" w:space="0"/>
                    <w:bottom w:val="single" w:color="auto" w:sz="4" w:space="0"/>
                    <w:right w:val="single" w:color="auto" w:sz="4" w:space="0"/>
                  </w:tcBorders>
                  <w:shd w:val="clear" w:color="auto" w:fill="auto"/>
                  <w:vAlign w:val="center"/>
                </w:tcPr>
                <w:p w14:paraId="0F3C7894">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218</w:t>
                  </w:r>
                </w:p>
              </w:tc>
            </w:tr>
          </w:tbl>
          <w:p w14:paraId="329E978A">
            <w:pPr>
              <w:spacing w:before="120" w:beforeLines="50" w:line="360" w:lineRule="auto"/>
              <w:ind w:firstLine="482" w:firstLineChars="200"/>
              <w:rPr>
                <w:b/>
                <w:bCs/>
                <w:color w:val="auto"/>
                <w:sz w:val="24"/>
                <w:highlight w:val="none"/>
              </w:rPr>
            </w:pPr>
            <w:r>
              <w:rPr>
                <w:b/>
                <w:bCs/>
                <w:color w:val="auto"/>
                <w:sz w:val="24"/>
                <w:highlight w:val="none"/>
              </w:rPr>
              <w:t>3、声环境保护目标</w:t>
            </w:r>
          </w:p>
          <w:p w14:paraId="1B08A021">
            <w:pPr>
              <w:spacing w:line="360" w:lineRule="auto"/>
              <w:ind w:firstLine="480" w:firstLineChars="200"/>
              <w:rPr>
                <w:rFonts w:hint="eastAsia"/>
                <w:color w:val="auto"/>
                <w:sz w:val="24"/>
                <w:highlight w:val="none"/>
              </w:rPr>
            </w:pPr>
            <w:r>
              <w:rPr>
                <w:rFonts w:hint="eastAsia"/>
                <w:color w:val="auto"/>
                <w:sz w:val="24"/>
                <w:highlight w:val="none"/>
              </w:rPr>
              <w:t>本项目厂界外50米处范围内</w:t>
            </w:r>
            <w:r>
              <w:rPr>
                <w:rFonts w:hint="eastAsia"/>
                <w:color w:val="auto"/>
                <w:sz w:val="24"/>
                <w:highlight w:val="none"/>
                <w:lang w:eastAsia="zh-CN"/>
              </w:rPr>
              <w:t>有</w:t>
            </w:r>
            <w:r>
              <w:rPr>
                <w:rFonts w:hint="eastAsia"/>
                <w:color w:val="auto"/>
                <w:sz w:val="24"/>
                <w:highlight w:val="none"/>
                <w:lang w:val="en-US" w:eastAsia="zh-CN"/>
              </w:rPr>
              <w:t>居民公寓敏感点保护目标，无文化区、自然保护区、风景名胜区等声环境保护目标</w:t>
            </w:r>
            <w:r>
              <w:rPr>
                <w:rFonts w:hint="eastAsia"/>
                <w:color w:val="auto"/>
                <w:sz w:val="24"/>
                <w:highlight w:val="none"/>
              </w:rPr>
              <w:t>。</w:t>
            </w:r>
          </w:p>
          <w:p w14:paraId="050022AD">
            <w:pPr>
              <w:pStyle w:val="95"/>
              <w:spacing w:before="0"/>
              <w:rPr>
                <w:rFonts w:hint="eastAsia" w:ascii="Times New Roman" w:hAnsi="Times New Roman" w:cs="Times New Roman"/>
                <w:b/>
                <w:bCs/>
                <w:color w:val="auto"/>
                <w:sz w:val="21"/>
                <w:szCs w:val="21"/>
                <w:highlight w:val="none"/>
                <w:lang w:eastAsia="zh-CN"/>
              </w:rPr>
            </w:pPr>
            <w:r>
              <w:rPr>
                <w:rFonts w:hint="eastAsia" w:ascii="Times New Roman" w:hAnsi="Times New Roman" w:cs="Times New Roman"/>
                <w:b/>
                <w:bCs/>
                <w:color w:val="auto"/>
                <w:sz w:val="21"/>
                <w:szCs w:val="21"/>
                <w:highlight w:val="none"/>
                <w:lang w:eastAsia="zh-CN"/>
              </w:rPr>
              <w:t>项目声环境敏感保护目标一览表</w:t>
            </w:r>
          </w:p>
          <w:tbl>
            <w:tblPr>
              <w:tblStyle w:val="19"/>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652"/>
              <w:gridCol w:w="1301"/>
              <w:gridCol w:w="1252"/>
              <w:gridCol w:w="974"/>
              <w:gridCol w:w="818"/>
              <w:gridCol w:w="712"/>
              <w:gridCol w:w="506"/>
              <w:gridCol w:w="491"/>
              <w:gridCol w:w="858"/>
            </w:tblGrid>
            <w:tr w14:paraId="55307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7" w:hRule="atLeast"/>
              </w:trPr>
              <w:tc>
                <w:tcPr>
                  <w:tcW w:w="425" w:type="pct"/>
                  <w:vMerge w:val="restart"/>
                  <w:tcBorders>
                    <w:top w:val="single" w:color="auto" w:sz="4" w:space="0"/>
                    <w:left w:val="single" w:color="auto" w:sz="4" w:space="0"/>
                    <w:right w:val="single" w:color="auto" w:sz="4" w:space="0"/>
                  </w:tcBorders>
                  <w:vAlign w:val="center"/>
                </w:tcPr>
                <w:p w14:paraId="64A368C6">
                  <w:pPr>
                    <w:snapToGrid w:val="0"/>
                    <w:jc w:val="center"/>
                    <w:rPr>
                      <w:b/>
                      <w:color w:val="auto"/>
                      <w:szCs w:val="21"/>
                      <w:highlight w:val="none"/>
                    </w:rPr>
                  </w:pPr>
                  <w:r>
                    <w:rPr>
                      <w:b/>
                      <w:color w:val="auto"/>
                      <w:szCs w:val="21"/>
                      <w:highlight w:val="none"/>
                    </w:rPr>
                    <w:t>所属地区</w:t>
                  </w:r>
                </w:p>
              </w:tc>
              <w:tc>
                <w:tcPr>
                  <w:tcW w:w="394" w:type="pct"/>
                  <w:vMerge w:val="restart"/>
                  <w:tcBorders>
                    <w:top w:val="single" w:color="auto" w:sz="4" w:space="0"/>
                    <w:left w:val="single" w:color="auto" w:sz="4" w:space="0"/>
                    <w:right w:val="single" w:color="auto" w:sz="4" w:space="0"/>
                  </w:tcBorders>
                  <w:vAlign w:val="center"/>
                </w:tcPr>
                <w:p w14:paraId="191231E1">
                  <w:pPr>
                    <w:snapToGrid w:val="0"/>
                    <w:jc w:val="center"/>
                    <w:rPr>
                      <w:b/>
                      <w:color w:val="auto"/>
                      <w:szCs w:val="21"/>
                      <w:highlight w:val="none"/>
                    </w:rPr>
                  </w:pPr>
                  <w:r>
                    <w:rPr>
                      <w:b/>
                      <w:color w:val="auto"/>
                      <w:szCs w:val="21"/>
                      <w:highlight w:val="none"/>
                    </w:rPr>
                    <w:t>敏感点名称</w:t>
                  </w:r>
                </w:p>
              </w:tc>
              <w:tc>
                <w:tcPr>
                  <w:tcW w:w="1544" w:type="pct"/>
                  <w:gridSpan w:val="2"/>
                  <w:tcBorders>
                    <w:top w:val="single" w:color="auto" w:sz="4" w:space="0"/>
                    <w:left w:val="single" w:color="auto" w:sz="4" w:space="0"/>
                    <w:bottom w:val="single" w:color="auto" w:sz="4" w:space="0"/>
                    <w:right w:val="single" w:color="auto" w:sz="4" w:space="0"/>
                  </w:tcBorders>
                  <w:vAlign w:val="center"/>
                </w:tcPr>
                <w:p w14:paraId="173FEA0A">
                  <w:pPr>
                    <w:snapToGrid w:val="0"/>
                    <w:jc w:val="center"/>
                    <w:rPr>
                      <w:b/>
                      <w:color w:val="auto"/>
                      <w:szCs w:val="21"/>
                      <w:highlight w:val="none"/>
                    </w:rPr>
                  </w:pPr>
                  <w:r>
                    <w:rPr>
                      <w:b/>
                      <w:color w:val="auto"/>
                      <w:szCs w:val="21"/>
                      <w:highlight w:val="none"/>
                    </w:rPr>
                    <w:t>坐标/m</w:t>
                  </w:r>
                </w:p>
              </w:tc>
              <w:tc>
                <w:tcPr>
                  <w:tcW w:w="589" w:type="pct"/>
                  <w:vMerge w:val="restart"/>
                  <w:tcBorders>
                    <w:top w:val="single" w:color="auto" w:sz="4" w:space="0"/>
                    <w:left w:val="single" w:color="auto" w:sz="4" w:space="0"/>
                    <w:right w:val="single" w:color="auto" w:sz="4" w:space="0"/>
                  </w:tcBorders>
                  <w:vAlign w:val="center"/>
                </w:tcPr>
                <w:p w14:paraId="0C76AE61">
                  <w:pPr>
                    <w:snapToGrid w:val="0"/>
                    <w:jc w:val="center"/>
                    <w:rPr>
                      <w:b/>
                      <w:color w:val="auto"/>
                      <w:szCs w:val="21"/>
                      <w:highlight w:val="none"/>
                    </w:rPr>
                  </w:pPr>
                  <w:r>
                    <w:rPr>
                      <w:b/>
                      <w:color w:val="auto"/>
                      <w:szCs w:val="21"/>
                      <w:highlight w:val="none"/>
                    </w:rPr>
                    <w:t>保护对象</w:t>
                  </w:r>
                </w:p>
              </w:tc>
              <w:tc>
                <w:tcPr>
                  <w:tcW w:w="494" w:type="pct"/>
                  <w:vMerge w:val="restart"/>
                  <w:tcBorders>
                    <w:top w:val="single" w:color="auto" w:sz="4" w:space="0"/>
                    <w:left w:val="single" w:color="auto" w:sz="4" w:space="0"/>
                    <w:right w:val="single" w:color="auto" w:sz="4" w:space="0"/>
                  </w:tcBorders>
                  <w:vAlign w:val="center"/>
                </w:tcPr>
                <w:p w14:paraId="6C5CAF46">
                  <w:pPr>
                    <w:snapToGrid w:val="0"/>
                    <w:jc w:val="center"/>
                    <w:rPr>
                      <w:b/>
                      <w:color w:val="auto"/>
                      <w:szCs w:val="21"/>
                      <w:highlight w:val="none"/>
                    </w:rPr>
                  </w:pPr>
                  <w:r>
                    <w:rPr>
                      <w:b/>
                      <w:color w:val="auto"/>
                      <w:szCs w:val="21"/>
                      <w:highlight w:val="none"/>
                    </w:rPr>
                    <w:t>保护内容</w:t>
                  </w:r>
                </w:p>
              </w:tc>
              <w:tc>
                <w:tcPr>
                  <w:tcW w:w="430" w:type="pct"/>
                  <w:vMerge w:val="restart"/>
                  <w:tcBorders>
                    <w:top w:val="single" w:color="auto" w:sz="4" w:space="0"/>
                    <w:left w:val="single" w:color="auto" w:sz="4" w:space="0"/>
                    <w:right w:val="single" w:color="auto" w:sz="4" w:space="0"/>
                  </w:tcBorders>
                  <w:vAlign w:val="center"/>
                </w:tcPr>
                <w:p w14:paraId="639B956C">
                  <w:pPr>
                    <w:snapToGrid w:val="0"/>
                    <w:jc w:val="center"/>
                    <w:rPr>
                      <w:b/>
                      <w:color w:val="auto"/>
                      <w:szCs w:val="21"/>
                      <w:highlight w:val="none"/>
                    </w:rPr>
                  </w:pPr>
                  <w:r>
                    <w:rPr>
                      <w:b/>
                      <w:color w:val="auto"/>
                      <w:szCs w:val="21"/>
                      <w:highlight w:val="none"/>
                    </w:rPr>
                    <w:t>环境功能区</w:t>
                  </w:r>
                </w:p>
              </w:tc>
              <w:tc>
                <w:tcPr>
                  <w:tcW w:w="306" w:type="pct"/>
                  <w:vMerge w:val="restart"/>
                  <w:tcBorders>
                    <w:top w:val="single" w:color="auto" w:sz="4" w:space="0"/>
                    <w:left w:val="single" w:color="auto" w:sz="4" w:space="0"/>
                    <w:right w:val="single" w:color="auto" w:sz="4" w:space="0"/>
                  </w:tcBorders>
                  <w:vAlign w:val="center"/>
                </w:tcPr>
                <w:p w14:paraId="0E0446B6">
                  <w:pPr>
                    <w:snapToGrid w:val="0"/>
                    <w:jc w:val="center"/>
                    <w:rPr>
                      <w:b/>
                      <w:color w:val="auto"/>
                      <w:szCs w:val="21"/>
                      <w:highlight w:val="none"/>
                    </w:rPr>
                  </w:pPr>
                  <w:r>
                    <w:rPr>
                      <w:b/>
                      <w:color w:val="auto"/>
                      <w:szCs w:val="21"/>
                      <w:highlight w:val="none"/>
                    </w:rPr>
                    <w:t>相对厂址方位</w:t>
                  </w:r>
                </w:p>
              </w:tc>
              <w:tc>
                <w:tcPr>
                  <w:tcW w:w="296" w:type="pct"/>
                  <w:vMerge w:val="restart"/>
                  <w:tcBorders>
                    <w:top w:val="single" w:color="auto" w:sz="4" w:space="0"/>
                    <w:left w:val="single" w:color="auto" w:sz="4" w:space="0"/>
                    <w:right w:val="single" w:color="auto" w:sz="4" w:space="0"/>
                  </w:tcBorders>
                  <w:vAlign w:val="center"/>
                </w:tcPr>
                <w:p w14:paraId="44B15F44">
                  <w:pPr>
                    <w:snapToGrid w:val="0"/>
                    <w:jc w:val="center"/>
                    <w:rPr>
                      <w:b/>
                      <w:color w:val="auto"/>
                      <w:szCs w:val="21"/>
                      <w:highlight w:val="none"/>
                    </w:rPr>
                  </w:pPr>
                  <w:r>
                    <w:rPr>
                      <w:b/>
                      <w:color w:val="auto"/>
                      <w:szCs w:val="21"/>
                      <w:highlight w:val="none"/>
                    </w:rPr>
                    <w:t>相对厂界距离/m</w:t>
                  </w:r>
                </w:p>
              </w:tc>
              <w:tc>
                <w:tcPr>
                  <w:tcW w:w="518" w:type="pct"/>
                  <w:vMerge w:val="restart"/>
                  <w:tcBorders>
                    <w:top w:val="single" w:color="auto" w:sz="4" w:space="0"/>
                    <w:left w:val="single" w:color="auto" w:sz="4" w:space="0"/>
                    <w:right w:val="single" w:color="auto" w:sz="4" w:space="0"/>
                  </w:tcBorders>
                  <w:vAlign w:val="center"/>
                </w:tcPr>
                <w:p w14:paraId="27A36F04">
                  <w:pPr>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相对项目高噪声设备距离/m</w:t>
                  </w:r>
                </w:p>
              </w:tc>
            </w:tr>
            <w:tr w14:paraId="09F5C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425" w:type="pct"/>
                  <w:vMerge w:val="continue"/>
                  <w:tcBorders>
                    <w:left w:val="single" w:color="auto" w:sz="4" w:space="0"/>
                    <w:bottom w:val="single" w:color="auto" w:sz="4" w:space="0"/>
                    <w:right w:val="single" w:color="auto" w:sz="4" w:space="0"/>
                  </w:tcBorders>
                  <w:vAlign w:val="center"/>
                </w:tcPr>
                <w:p w14:paraId="20E4604A">
                  <w:pPr>
                    <w:snapToGrid w:val="0"/>
                    <w:jc w:val="center"/>
                    <w:rPr>
                      <w:b/>
                      <w:color w:val="auto"/>
                      <w:szCs w:val="21"/>
                      <w:highlight w:val="none"/>
                    </w:rPr>
                  </w:pPr>
                </w:p>
              </w:tc>
              <w:tc>
                <w:tcPr>
                  <w:tcW w:w="394" w:type="pct"/>
                  <w:vMerge w:val="continue"/>
                  <w:tcBorders>
                    <w:left w:val="single" w:color="auto" w:sz="4" w:space="0"/>
                    <w:bottom w:val="single" w:color="auto" w:sz="4" w:space="0"/>
                    <w:right w:val="single" w:color="auto" w:sz="4" w:space="0"/>
                  </w:tcBorders>
                  <w:vAlign w:val="center"/>
                </w:tcPr>
                <w:p w14:paraId="4868E9CC">
                  <w:pPr>
                    <w:snapToGrid w:val="0"/>
                    <w:jc w:val="center"/>
                    <w:rPr>
                      <w:b/>
                      <w:color w:val="auto"/>
                      <w:szCs w:val="21"/>
                      <w:highlight w:val="none"/>
                    </w:rPr>
                  </w:pPr>
                </w:p>
              </w:tc>
              <w:tc>
                <w:tcPr>
                  <w:tcW w:w="786" w:type="pct"/>
                  <w:tcBorders>
                    <w:top w:val="single" w:color="auto" w:sz="4" w:space="0"/>
                    <w:left w:val="single" w:color="auto" w:sz="4" w:space="0"/>
                    <w:bottom w:val="single" w:color="auto" w:sz="4" w:space="0"/>
                    <w:right w:val="single" w:color="auto" w:sz="4" w:space="0"/>
                  </w:tcBorders>
                  <w:vAlign w:val="center"/>
                </w:tcPr>
                <w:p w14:paraId="7C0D6893">
                  <w:pPr>
                    <w:snapToGrid w:val="0"/>
                    <w:jc w:val="center"/>
                    <w:rPr>
                      <w:b/>
                      <w:color w:val="auto"/>
                      <w:szCs w:val="21"/>
                      <w:highlight w:val="none"/>
                    </w:rPr>
                  </w:pPr>
                  <w:r>
                    <w:rPr>
                      <w:b/>
                      <w:color w:val="auto"/>
                      <w:szCs w:val="21"/>
                      <w:highlight w:val="none"/>
                    </w:rPr>
                    <w:t>X</w:t>
                  </w:r>
                </w:p>
              </w:tc>
              <w:tc>
                <w:tcPr>
                  <w:tcW w:w="757" w:type="pct"/>
                  <w:tcBorders>
                    <w:top w:val="single" w:color="auto" w:sz="4" w:space="0"/>
                    <w:left w:val="single" w:color="auto" w:sz="4" w:space="0"/>
                    <w:bottom w:val="single" w:color="auto" w:sz="4" w:space="0"/>
                    <w:right w:val="single" w:color="auto" w:sz="4" w:space="0"/>
                  </w:tcBorders>
                  <w:vAlign w:val="center"/>
                </w:tcPr>
                <w:p w14:paraId="44991939">
                  <w:pPr>
                    <w:snapToGrid w:val="0"/>
                    <w:jc w:val="center"/>
                    <w:rPr>
                      <w:b/>
                      <w:color w:val="auto"/>
                      <w:szCs w:val="21"/>
                      <w:highlight w:val="none"/>
                    </w:rPr>
                  </w:pPr>
                  <w:r>
                    <w:rPr>
                      <w:b/>
                      <w:color w:val="auto"/>
                      <w:szCs w:val="21"/>
                      <w:highlight w:val="none"/>
                    </w:rPr>
                    <w:t>Y</w:t>
                  </w:r>
                </w:p>
              </w:tc>
              <w:tc>
                <w:tcPr>
                  <w:tcW w:w="589" w:type="pct"/>
                  <w:vMerge w:val="continue"/>
                  <w:tcBorders>
                    <w:left w:val="single" w:color="auto" w:sz="4" w:space="0"/>
                    <w:bottom w:val="single" w:color="auto" w:sz="4" w:space="0"/>
                    <w:right w:val="single" w:color="auto" w:sz="4" w:space="0"/>
                  </w:tcBorders>
                  <w:vAlign w:val="center"/>
                </w:tcPr>
                <w:p w14:paraId="1C0057BF">
                  <w:pPr>
                    <w:snapToGrid w:val="0"/>
                    <w:jc w:val="center"/>
                    <w:rPr>
                      <w:b/>
                      <w:color w:val="auto"/>
                      <w:szCs w:val="21"/>
                      <w:highlight w:val="none"/>
                    </w:rPr>
                  </w:pPr>
                </w:p>
              </w:tc>
              <w:tc>
                <w:tcPr>
                  <w:tcW w:w="494" w:type="pct"/>
                  <w:vMerge w:val="continue"/>
                  <w:tcBorders>
                    <w:left w:val="single" w:color="auto" w:sz="4" w:space="0"/>
                    <w:bottom w:val="single" w:color="auto" w:sz="4" w:space="0"/>
                    <w:right w:val="single" w:color="auto" w:sz="4" w:space="0"/>
                  </w:tcBorders>
                  <w:vAlign w:val="center"/>
                </w:tcPr>
                <w:p w14:paraId="1BF3550F">
                  <w:pPr>
                    <w:snapToGrid w:val="0"/>
                    <w:jc w:val="center"/>
                    <w:rPr>
                      <w:b/>
                      <w:color w:val="auto"/>
                      <w:szCs w:val="21"/>
                      <w:highlight w:val="none"/>
                    </w:rPr>
                  </w:pPr>
                </w:p>
              </w:tc>
              <w:tc>
                <w:tcPr>
                  <w:tcW w:w="430" w:type="pct"/>
                  <w:vMerge w:val="continue"/>
                  <w:tcBorders>
                    <w:left w:val="single" w:color="auto" w:sz="4" w:space="0"/>
                    <w:bottom w:val="single" w:color="auto" w:sz="4" w:space="0"/>
                    <w:right w:val="single" w:color="auto" w:sz="4" w:space="0"/>
                  </w:tcBorders>
                  <w:vAlign w:val="center"/>
                </w:tcPr>
                <w:p w14:paraId="79E47C6B">
                  <w:pPr>
                    <w:snapToGrid w:val="0"/>
                    <w:jc w:val="center"/>
                    <w:rPr>
                      <w:b/>
                      <w:color w:val="auto"/>
                      <w:szCs w:val="21"/>
                      <w:highlight w:val="none"/>
                    </w:rPr>
                  </w:pPr>
                </w:p>
              </w:tc>
              <w:tc>
                <w:tcPr>
                  <w:tcW w:w="306" w:type="pct"/>
                  <w:vMerge w:val="continue"/>
                  <w:tcBorders>
                    <w:left w:val="single" w:color="auto" w:sz="4" w:space="0"/>
                    <w:bottom w:val="single" w:color="auto" w:sz="4" w:space="0"/>
                    <w:right w:val="single" w:color="auto" w:sz="4" w:space="0"/>
                  </w:tcBorders>
                  <w:vAlign w:val="center"/>
                </w:tcPr>
                <w:p w14:paraId="1B2A55D8">
                  <w:pPr>
                    <w:snapToGrid w:val="0"/>
                    <w:jc w:val="center"/>
                    <w:rPr>
                      <w:b/>
                      <w:color w:val="auto"/>
                      <w:szCs w:val="21"/>
                      <w:highlight w:val="none"/>
                    </w:rPr>
                  </w:pPr>
                </w:p>
              </w:tc>
              <w:tc>
                <w:tcPr>
                  <w:tcW w:w="296" w:type="pct"/>
                  <w:vMerge w:val="continue"/>
                  <w:tcBorders>
                    <w:left w:val="single" w:color="auto" w:sz="4" w:space="0"/>
                    <w:bottom w:val="single" w:color="auto" w:sz="4" w:space="0"/>
                    <w:right w:val="single" w:color="auto" w:sz="4" w:space="0"/>
                  </w:tcBorders>
                  <w:vAlign w:val="center"/>
                </w:tcPr>
                <w:p w14:paraId="3590BF19">
                  <w:pPr>
                    <w:snapToGrid w:val="0"/>
                    <w:jc w:val="center"/>
                    <w:rPr>
                      <w:b/>
                      <w:color w:val="auto"/>
                      <w:szCs w:val="21"/>
                      <w:highlight w:val="none"/>
                    </w:rPr>
                  </w:pPr>
                </w:p>
              </w:tc>
              <w:tc>
                <w:tcPr>
                  <w:tcW w:w="518" w:type="pct"/>
                  <w:vMerge w:val="continue"/>
                  <w:tcBorders>
                    <w:left w:val="single" w:color="auto" w:sz="4" w:space="0"/>
                    <w:bottom w:val="single" w:color="auto" w:sz="4" w:space="0"/>
                    <w:right w:val="single" w:color="auto" w:sz="4" w:space="0"/>
                  </w:tcBorders>
                  <w:vAlign w:val="center"/>
                </w:tcPr>
                <w:p w14:paraId="2906A8B2">
                  <w:pPr>
                    <w:snapToGrid w:val="0"/>
                    <w:jc w:val="center"/>
                    <w:rPr>
                      <w:b/>
                      <w:color w:val="auto"/>
                      <w:szCs w:val="21"/>
                      <w:highlight w:val="none"/>
                    </w:rPr>
                  </w:pPr>
                </w:p>
              </w:tc>
            </w:tr>
            <w:tr w14:paraId="441EF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425" w:type="pct"/>
                  <w:tcBorders>
                    <w:top w:val="single" w:color="auto" w:sz="4" w:space="0"/>
                    <w:left w:val="single" w:color="auto" w:sz="4" w:space="0"/>
                    <w:right w:val="single" w:color="auto" w:sz="4" w:space="0"/>
                  </w:tcBorders>
                  <w:vAlign w:val="center"/>
                </w:tcPr>
                <w:p w14:paraId="3ACA2553">
                  <w:pPr>
                    <w:jc w:val="center"/>
                    <w:rPr>
                      <w:color w:val="auto"/>
                      <w:szCs w:val="21"/>
                      <w:highlight w:val="none"/>
                    </w:rPr>
                  </w:pPr>
                  <w:r>
                    <w:rPr>
                      <w:color w:val="auto"/>
                      <w:szCs w:val="21"/>
                      <w:highlight w:val="none"/>
                    </w:rPr>
                    <w:t>中山市</w:t>
                  </w:r>
                </w:p>
              </w:tc>
              <w:tc>
                <w:tcPr>
                  <w:tcW w:w="394" w:type="pct"/>
                  <w:tcBorders>
                    <w:top w:val="single" w:color="auto" w:sz="4" w:space="0"/>
                    <w:left w:val="single" w:color="auto" w:sz="4" w:space="0"/>
                    <w:bottom w:val="single" w:color="auto" w:sz="4" w:space="0"/>
                    <w:right w:val="single" w:color="auto" w:sz="4" w:space="0"/>
                  </w:tcBorders>
                  <w:shd w:val="clear" w:color="auto" w:fill="auto"/>
                  <w:vAlign w:val="center"/>
                </w:tcPr>
                <w:p w14:paraId="5B63DAB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居民公寓</w:t>
                  </w:r>
                </w:p>
              </w:tc>
              <w:tc>
                <w:tcPr>
                  <w:tcW w:w="786" w:type="pct"/>
                  <w:tcBorders>
                    <w:top w:val="single" w:color="auto" w:sz="4" w:space="0"/>
                    <w:left w:val="single" w:color="auto" w:sz="4" w:space="0"/>
                    <w:bottom w:val="single" w:color="auto" w:sz="4" w:space="0"/>
                    <w:right w:val="single" w:color="auto" w:sz="4" w:space="0"/>
                  </w:tcBorders>
                  <w:shd w:val="clear" w:color="auto" w:fill="auto"/>
                  <w:vAlign w:val="center"/>
                </w:tcPr>
                <w:p w14:paraId="1CC04595">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olor w:val="auto"/>
                    </w:rPr>
                    <w:t>113.256158</w:t>
                  </w:r>
                </w:p>
              </w:tc>
              <w:tc>
                <w:tcPr>
                  <w:tcW w:w="757" w:type="pct"/>
                  <w:tcBorders>
                    <w:top w:val="single" w:color="auto" w:sz="4" w:space="0"/>
                    <w:left w:val="single" w:color="auto" w:sz="4" w:space="0"/>
                    <w:bottom w:val="single" w:color="auto" w:sz="4" w:space="0"/>
                    <w:right w:val="single" w:color="auto" w:sz="4" w:space="0"/>
                  </w:tcBorders>
                  <w:shd w:val="clear" w:color="auto" w:fill="auto"/>
                  <w:vAlign w:val="center"/>
                </w:tcPr>
                <w:p w14:paraId="00B1181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22.722274</w:t>
                  </w:r>
                </w:p>
              </w:tc>
              <w:tc>
                <w:tcPr>
                  <w:tcW w:w="589" w:type="pct"/>
                  <w:tcBorders>
                    <w:left w:val="single" w:color="auto" w:sz="4" w:space="0"/>
                    <w:right w:val="single" w:color="auto" w:sz="4" w:space="0"/>
                  </w:tcBorders>
                  <w:vAlign w:val="center"/>
                </w:tcPr>
                <w:p w14:paraId="648A3F40">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居民</w:t>
                  </w:r>
                </w:p>
              </w:tc>
              <w:tc>
                <w:tcPr>
                  <w:tcW w:w="494" w:type="pct"/>
                  <w:tcBorders>
                    <w:left w:val="single" w:color="auto" w:sz="4" w:space="0"/>
                    <w:right w:val="single" w:color="auto" w:sz="4" w:space="0"/>
                  </w:tcBorders>
                  <w:vAlign w:val="center"/>
                </w:tcPr>
                <w:p w14:paraId="71FC8C4A">
                  <w:pPr>
                    <w:jc w:val="center"/>
                    <w:rPr>
                      <w:color w:val="auto"/>
                      <w:szCs w:val="21"/>
                      <w:highlight w:val="none"/>
                    </w:rPr>
                  </w:pPr>
                  <w:r>
                    <w:rPr>
                      <w:color w:val="auto"/>
                      <w:spacing w:val="-2"/>
                      <w:szCs w:val="21"/>
                      <w:highlight w:val="none"/>
                    </w:rPr>
                    <w:t>不受</w:t>
                  </w:r>
                  <w:r>
                    <w:rPr>
                      <w:rFonts w:hint="eastAsia"/>
                      <w:color w:val="auto"/>
                      <w:spacing w:val="-2"/>
                      <w:szCs w:val="21"/>
                      <w:highlight w:val="none"/>
                      <w:lang w:eastAsia="zh-CN"/>
                    </w:rPr>
                    <w:t>噪声</w:t>
                  </w:r>
                  <w:r>
                    <w:rPr>
                      <w:color w:val="auto"/>
                      <w:spacing w:val="-2"/>
                      <w:szCs w:val="21"/>
                      <w:highlight w:val="none"/>
                    </w:rPr>
                    <w:t>影响</w:t>
                  </w:r>
                </w:p>
              </w:tc>
              <w:tc>
                <w:tcPr>
                  <w:tcW w:w="430" w:type="pct"/>
                  <w:tcBorders>
                    <w:top w:val="single" w:color="auto" w:sz="4" w:space="0"/>
                    <w:left w:val="single" w:color="auto" w:sz="4" w:space="0"/>
                    <w:right w:val="single" w:color="auto" w:sz="4" w:space="0"/>
                  </w:tcBorders>
                  <w:vAlign w:val="center"/>
                </w:tcPr>
                <w:p w14:paraId="01A236F6">
                  <w:pPr>
                    <w:jc w:val="center"/>
                    <w:rPr>
                      <w:bCs/>
                      <w:color w:val="auto"/>
                      <w:szCs w:val="21"/>
                      <w:highlight w:val="none"/>
                    </w:rPr>
                  </w:pPr>
                  <w:r>
                    <w:rPr>
                      <w:rFonts w:hint="eastAsia"/>
                      <w:bCs/>
                      <w:color w:val="auto"/>
                      <w:szCs w:val="21"/>
                      <w:highlight w:val="none"/>
                      <w:lang w:eastAsia="zh-CN"/>
                    </w:rPr>
                    <w:t>声环境</w:t>
                  </w:r>
                  <w:r>
                    <w:rPr>
                      <w:rFonts w:hint="eastAsia"/>
                      <w:bCs/>
                      <w:color w:val="auto"/>
                      <w:szCs w:val="21"/>
                      <w:highlight w:val="none"/>
                      <w:lang w:val="en-US" w:eastAsia="zh-CN"/>
                    </w:rPr>
                    <w:t>2</w:t>
                  </w:r>
                  <w:r>
                    <w:rPr>
                      <w:bCs/>
                      <w:color w:val="auto"/>
                      <w:szCs w:val="21"/>
                      <w:highlight w:val="none"/>
                    </w:rPr>
                    <w:t>类区</w:t>
                  </w:r>
                </w:p>
              </w:tc>
              <w:tc>
                <w:tcPr>
                  <w:tcW w:w="306" w:type="pct"/>
                  <w:tcBorders>
                    <w:top w:val="single" w:color="auto" w:sz="4" w:space="0"/>
                    <w:left w:val="single" w:color="auto" w:sz="4" w:space="0"/>
                    <w:bottom w:val="single" w:color="auto" w:sz="4" w:space="0"/>
                    <w:right w:val="single" w:color="auto" w:sz="4" w:space="0"/>
                  </w:tcBorders>
                  <w:vAlign w:val="center"/>
                </w:tcPr>
                <w:p w14:paraId="10B0E4D9">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西北面</w:t>
                  </w:r>
                </w:p>
              </w:tc>
              <w:tc>
                <w:tcPr>
                  <w:tcW w:w="296" w:type="pct"/>
                  <w:tcBorders>
                    <w:top w:val="single" w:color="auto" w:sz="4" w:space="0"/>
                    <w:left w:val="single" w:color="auto" w:sz="4" w:space="0"/>
                    <w:bottom w:val="single" w:color="auto" w:sz="4" w:space="0"/>
                    <w:right w:val="single" w:color="auto" w:sz="4" w:space="0"/>
                  </w:tcBorders>
                  <w:vAlign w:val="center"/>
                </w:tcPr>
                <w:p w14:paraId="2B33EA51">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30</w:t>
                  </w:r>
                </w:p>
              </w:tc>
              <w:tc>
                <w:tcPr>
                  <w:tcW w:w="518" w:type="pct"/>
                  <w:tcBorders>
                    <w:top w:val="single" w:color="auto" w:sz="4" w:space="0"/>
                    <w:left w:val="single" w:color="auto" w:sz="4" w:space="0"/>
                    <w:bottom w:val="single" w:color="auto" w:sz="4" w:space="0"/>
                    <w:right w:val="single" w:color="auto" w:sz="4" w:space="0"/>
                  </w:tcBorders>
                  <w:vAlign w:val="center"/>
                </w:tcPr>
                <w:p w14:paraId="19558CFB">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50</w:t>
                  </w:r>
                </w:p>
              </w:tc>
            </w:tr>
          </w:tbl>
          <w:p w14:paraId="096B9D80">
            <w:pPr>
              <w:numPr>
                <w:ilvl w:val="0"/>
                <w:numId w:val="10"/>
              </w:numPr>
              <w:spacing w:line="360" w:lineRule="auto"/>
              <w:ind w:firstLine="482" w:firstLineChars="200"/>
              <w:rPr>
                <w:rFonts w:hint="eastAsia"/>
                <w:b/>
                <w:bCs/>
                <w:color w:val="auto"/>
                <w:sz w:val="24"/>
                <w:highlight w:val="none"/>
              </w:rPr>
            </w:pPr>
            <w:r>
              <w:rPr>
                <w:rFonts w:hint="eastAsia"/>
                <w:b/>
                <w:bCs/>
                <w:color w:val="auto"/>
                <w:sz w:val="24"/>
                <w:highlight w:val="none"/>
              </w:rPr>
              <w:t>地下水保护目标</w:t>
            </w:r>
          </w:p>
          <w:p w14:paraId="371B3362">
            <w:pPr>
              <w:spacing w:line="360" w:lineRule="auto"/>
              <w:ind w:firstLine="480" w:firstLineChars="200"/>
              <w:rPr>
                <w:rFonts w:hint="default" w:ascii="Times New Roman" w:hAnsi="Times New Roman" w:eastAsia="宋体" w:cs="Times New Roman"/>
                <w:color w:val="auto"/>
                <w:sz w:val="24"/>
                <w:highlight w:val="none"/>
              </w:rPr>
            </w:pPr>
            <w:r>
              <w:rPr>
                <w:rFonts w:hint="eastAsia"/>
                <w:color w:val="auto"/>
                <w:sz w:val="24"/>
                <w:highlight w:val="none"/>
              </w:rPr>
              <w:t>本项目厂界外</w:t>
            </w:r>
            <w:r>
              <w:rPr>
                <w:color w:val="auto"/>
                <w:sz w:val="24"/>
                <w:highlight w:val="none"/>
              </w:rPr>
              <w:t>500</w:t>
            </w:r>
            <w:r>
              <w:rPr>
                <w:rFonts w:hint="eastAsia"/>
                <w:color w:val="auto"/>
                <w:sz w:val="24"/>
                <w:highlight w:val="none"/>
              </w:rPr>
              <w:t>米范围内无地下水集中式饮用水水源和热水、矿泉水、温泉等特殊地下水资源。</w:t>
            </w:r>
          </w:p>
          <w:p w14:paraId="28E5540A">
            <w:pPr>
              <w:spacing w:line="360" w:lineRule="auto"/>
              <w:ind w:firstLine="482" w:firstLineChars="200"/>
              <w:rPr>
                <w:rFonts w:hint="eastAsia"/>
                <w:b/>
                <w:bCs/>
                <w:color w:val="auto"/>
                <w:sz w:val="24"/>
                <w:highlight w:val="none"/>
              </w:rPr>
            </w:pPr>
            <w:r>
              <w:rPr>
                <w:rFonts w:hint="eastAsia"/>
                <w:b/>
                <w:bCs/>
                <w:color w:val="auto"/>
                <w:sz w:val="24"/>
                <w:highlight w:val="none"/>
                <w:lang w:val="en-US" w:eastAsia="zh-CN"/>
              </w:rPr>
              <w:t>5</w:t>
            </w:r>
            <w:r>
              <w:rPr>
                <w:rFonts w:hint="eastAsia"/>
                <w:b/>
                <w:bCs/>
                <w:color w:val="auto"/>
                <w:sz w:val="24"/>
                <w:highlight w:val="none"/>
              </w:rPr>
              <w:t>、生态环境保护目标：</w:t>
            </w:r>
          </w:p>
          <w:p w14:paraId="7FE700A5">
            <w:pPr>
              <w:spacing w:line="360" w:lineRule="auto"/>
              <w:ind w:firstLine="480" w:firstLineChars="200"/>
              <w:rPr>
                <w:rFonts w:hint="eastAsia"/>
                <w:color w:val="auto"/>
                <w:kern w:val="0"/>
                <w:szCs w:val="21"/>
                <w:highlight w:val="none"/>
              </w:rPr>
            </w:pPr>
            <w:r>
              <w:rPr>
                <w:rFonts w:hint="eastAsia"/>
                <w:color w:val="auto"/>
                <w:sz w:val="24"/>
                <w:highlight w:val="none"/>
              </w:rPr>
              <w:t>本项目不涉及新增用地，不涉及生态环境保护目标。</w:t>
            </w:r>
          </w:p>
        </w:tc>
      </w:tr>
      <w:tr w14:paraId="1AB1B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8" w:hRule="atLeast"/>
          <w:jc w:val="center"/>
        </w:trPr>
        <w:tc>
          <w:tcPr>
            <w:tcW w:w="529" w:type="dxa"/>
            <w:shd w:val="clear" w:color="auto" w:fill="auto"/>
            <w:vAlign w:val="center"/>
          </w:tcPr>
          <w:p w14:paraId="7167DA21">
            <w:pPr>
              <w:adjustRightInd w:val="0"/>
              <w:snapToGrid w:val="0"/>
              <w:jc w:val="center"/>
              <w:rPr>
                <w:color w:val="auto"/>
                <w:kern w:val="0"/>
                <w:szCs w:val="21"/>
                <w:highlight w:val="none"/>
              </w:rPr>
            </w:pPr>
            <w:r>
              <w:rPr>
                <w:color w:val="auto"/>
                <w:kern w:val="0"/>
                <w:sz w:val="24"/>
                <w:highlight w:val="none"/>
              </w:rPr>
              <w:t>污染物排放控制标准</w:t>
            </w:r>
          </w:p>
        </w:tc>
        <w:tc>
          <w:tcPr>
            <w:tcW w:w="8501" w:type="dxa"/>
            <w:shd w:val="clear" w:color="auto" w:fill="auto"/>
            <w:vAlign w:val="center"/>
          </w:tcPr>
          <w:p w14:paraId="31089AA9">
            <w:pPr>
              <w:spacing w:before="120" w:beforeLines="50" w:line="360" w:lineRule="auto"/>
              <w:ind w:firstLine="482" w:firstLineChars="200"/>
              <w:rPr>
                <w:b/>
                <w:bCs/>
                <w:color w:val="auto"/>
                <w:sz w:val="24"/>
                <w:highlight w:val="none"/>
              </w:rPr>
            </w:pPr>
            <w:r>
              <w:rPr>
                <w:b/>
                <w:bCs/>
                <w:color w:val="auto"/>
                <w:sz w:val="24"/>
                <w:highlight w:val="none"/>
              </w:rPr>
              <w:t>1、水污染</w:t>
            </w:r>
            <w:r>
              <w:rPr>
                <w:rFonts w:hint="eastAsia"/>
                <w:b/>
                <w:bCs/>
                <w:color w:val="auto"/>
                <w:sz w:val="24"/>
                <w:highlight w:val="none"/>
                <w:lang w:val="en-US" w:eastAsia="zh-CN"/>
              </w:rPr>
              <w:t>物</w:t>
            </w:r>
            <w:r>
              <w:rPr>
                <w:b/>
                <w:bCs/>
                <w:color w:val="auto"/>
                <w:sz w:val="24"/>
                <w:highlight w:val="none"/>
              </w:rPr>
              <w:t>排放标准</w:t>
            </w:r>
          </w:p>
          <w:p w14:paraId="24D2031D">
            <w:pPr>
              <w:pStyle w:val="95"/>
              <w:spacing w:before="120"/>
              <w:rPr>
                <w:b/>
                <w:bCs/>
                <w:color w:val="auto"/>
                <w:sz w:val="21"/>
                <w:szCs w:val="21"/>
                <w:highlight w:val="none"/>
              </w:rPr>
            </w:pPr>
            <w:r>
              <w:rPr>
                <w:b/>
                <w:bCs/>
                <w:color w:val="auto"/>
                <w:sz w:val="21"/>
                <w:szCs w:val="21"/>
                <w:highlight w:val="none"/>
              </w:rPr>
              <w:t>广东省《水污染物排放限值》(DB44/26-2001</w:t>
            </w:r>
            <w:r>
              <w:rPr>
                <w:rFonts w:hint="eastAsia"/>
                <w:b/>
                <w:bCs/>
                <w:color w:val="auto"/>
                <w:sz w:val="21"/>
                <w:szCs w:val="21"/>
                <w:highlight w:val="none"/>
                <w:lang w:eastAsia="zh-CN"/>
              </w:rPr>
              <w:t>）</w:t>
            </w:r>
            <w:r>
              <w:rPr>
                <w:b/>
                <w:bCs/>
                <w:color w:val="auto"/>
                <w:sz w:val="21"/>
                <w:szCs w:val="21"/>
                <w:highlight w:val="none"/>
              </w:rPr>
              <w:t>第二时段三级标准</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33"/>
              <w:gridCol w:w="1278"/>
              <w:gridCol w:w="1330"/>
              <w:gridCol w:w="1263"/>
              <w:gridCol w:w="1164"/>
              <w:gridCol w:w="1404"/>
            </w:tblGrid>
            <w:tr w14:paraId="5B7BF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1107" w:type="pct"/>
                  <w:shd w:val="clear" w:color="auto" w:fill="auto"/>
                  <w:vAlign w:val="center"/>
                </w:tcPr>
                <w:p w14:paraId="1DB8E8E2">
                  <w:pPr>
                    <w:widowControl/>
                    <w:adjustRightInd w:val="0"/>
                    <w:snapToGrid w:val="0"/>
                    <w:jc w:val="center"/>
                    <w:rPr>
                      <w:b/>
                      <w:bCs/>
                      <w:color w:val="auto"/>
                      <w:szCs w:val="21"/>
                      <w:highlight w:val="none"/>
                    </w:rPr>
                  </w:pPr>
                  <w:r>
                    <w:rPr>
                      <w:b/>
                      <w:bCs/>
                      <w:color w:val="auto"/>
                      <w:szCs w:val="21"/>
                      <w:highlight w:val="none"/>
                    </w:rPr>
                    <w:t>指标</w:t>
                  </w:r>
                </w:p>
              </w:tc>
              <w:tc>
                <w:tcPr>
                  <w:tcW w:w="772" w:type="pct"/>
                  <w:shd w:val="clear" w:color="auto" w:fill="auto"/>
                  <w:vAlign w:val="center"/>
                </w:tcPr>
                <w:p w14:paraId="50984B12">
                  <w:pPr>
                    <w:widowControl/>
                    <w:adjustRightInd w:val="0"/>
                    <w:snapToGrid w:val="0"/>
                    <w:jc w:val="center"/>
                    <w:rPr>
                      <w:b/>
                      <w:bCs/>
                      <w:color w:val="auto"/>
                      <w:szCs w:val="21"/>
                      <w:highlight w:val="none"/>
                    </w:rPr>
                  </w:pPr>
                  <w:r>
                    <w:rPr>
                      <w:b/>
                      <w:bCs/>
                      <w:color w:val="auto"/>
                      <w:szCs w:val="21"/>
                      <w:highlight w:val="none"/>
                    </w:rPr>
                    <w:t>pH值</w:t>
                  </w:r>
                </w:p>
              </w:tc>
              <w:tc>
                <w:tcPr>
                  <w:tcW w:w="803" w:type="pct"/>
                  <w:shd w:val="clear" w:color="auto" w:fill="auto"/>
                  <w:vAlign w:val="center"/>
                </w:tcPr>
                <w:p w14:paraId="5A8EB10D">
                  <w:pPr>
                    <w:widowControl/>
                    <w:adjustRightInd w:val="0"/>
                    <w:snapToGrid w:val="0"/>
                    <w:jc w:val="center"/>
                    <w:rPr>
                      <w:b/>
                      <w:bCs/>
                      <w:color w:val="auto"/>
                      <w:szCs w:val="21"/>
                      <w:highlight w:val="none"/>
                      <w:vertAlign w:val="subscript"/>
                    </w:rPr>
                  </w:pPr>
                  <w:r>
                    <w:rPr>
                      <w:b/>
                      <w:bCs/>
                      <w:color w:val="auto"/>
                      <w:szCs w:val="21"/>
                      <w:highlight w:val="none"/>
                    </w:rPr>
                    <w:t>COD</w:t>
                  </w:r>
                  <w:r>
                    <w:rPr>
                      <w:b/>
                      <w:bCs/>
                      <w:color w:val="auto"/>
                      <w:szCs w:val="21"/>
                      <w:highlight w:val="none"/>
                      <w:vertAlign w:val="subscript"/>
                    </w:rPr>
                    <w:t>cr</w:t>
                  </w:r>
                </w:p>
              </w:tc>
              <w:tc>
                <w:tcPr>
                  <w:tcW w:w="763" w:type="pct"/>
                  <w:shd w:val="clear" w:color="auto" w:fill="auto"/>
                  <w:vAlign w:val="center"/>
                </w:tcPr>
                <w:p w14:paraId="0CA1A632">
                  <w:pPr>
                    <w:widowControl/>
                    <w:adjustRightInd w:val="0"/>
                    <w:snapToGrid w:val="0"/>
                    <w:jc w:val="center"/>
                    <w:rPr>
                      <w:b/>
                      <w:bCs/>
                      <w:color w:val="auto"/>
                      <w:szCs w:val="21"/>
                      <w:highlight w:val="none"/>
                      <w:vertAlign w:val="subscript"/>
                    </w:rPr>
                  </w:pPr>
                  <w:r>
                    <w:rPr>
                      <w:b/>
                      <w:bCs/>
                      <w:color w:val="auto"/>
                      <w:szCs w:val="21"/>
                      <w:highlight w:val="none"/>
                    </w:rPr>
                    <w:t>BOD</w:t>
                  </w:r>
                  <w:r>
                    <w:rPr>
                      <w:b/>
                      <w:bCs/>
                      <w:color w:val="auto"/>
                      <w:szCs w:val="21"/>
                      <w:highlight w:val="none"/>
                      <w:vertAlign w:val="subscript"/>
                    </w:rPr>
                    <w:t>5</w:t>
                  </w:r>
                </w:p>
              </w:tc>
              <w:tc>
                <w:tcPr>
                  <w:tcW w:w="703" w:type="pct"/>
                  <w:shd w:val="clear" w:color="auto" w:fill="auto"/>
                  <w:vAlign w:val="center"/>
                </w:tcPr>
                <w:p w14:paraId="6E1AAC60">
                  <w:pPr>
                    <w:widowControl/>
                    <w:adjustRightInd w:val="0"/>
                    <w:snapToGrid w:val="0"/>
                    <w:jc w:val="center"/>
                    <w:rPr>
                      <w:b/>
                      <w:bCs/>
                      <w:color w:val="auto"/>
                      <w:szCs w:val="21"/>
                      <w:highlight w:val="none"/>
                    </w:rPr>
                  </w:pPr>
                  <w:r>
                    <w:rPr>
                      <w:b/>
                      <w:bCs/>
                      <w:color w:val="auto"/>
                      <w:szCs w:val="21"/>
                      <w:highlight w:val="none"/>
                    </w:rPr>
                    <w:t>SS</w:t>
                  </w:r>
                </w:p>
              </w:tc>
              <w:tc>
                <w:tcPr>
                  <w:tcW w:w="848" w:type="pct"/>
                  <w:shd w:val="clear" w:color="auto" w:fill="auto"/>
                  <w:vAlign w:val="center"/>
                </w:tcPr>
                <w:p w14:paraId="21997D81">
                  <w:pPr>
                    <w:widowControl/>
                    <w:adjustRightInd w:val="0"/>
                    <w:snapToGrid w:val="0"/>
                    <w:jc w:val="center"/>
                    <w:rPr>
                      <w:b/>
                      <w:bCs/>
                      <w:color w:val="auto"/>
                      <w:szCs w:val="21"/>
                      <w:highlight w:val="none"/>
                    </w:rPr>
                  </w:pPr>
                  <w:r>
                    <w:rPr>
                      <w:b/>
                      <w:bCs/>
                      <w:color w:val="auto"/>
                      <w:szCs w:val="21"/>
                      <w:highlight w:val="none"/>
                    </w:rPr>
                    <w:t>NH</w:t>
                  </w:r>
                  <w:r>
                    <w:rPr>
                      <w:b/>
                      <w:bCs/>
                      <w:color w:val="auto"/>
                      <w:szCs w:val="21"/>
                      <w:highlight w:val="none"/>
                      <w:vertAlign w:val="subscript"/>
                    </w:rPr>
                    <w:t>3</w:t>
                  </w:r>
                  <w:r>
                    <w:rPr>
                      <w:b/>
                      <w:bCs/>
                      <w:color w:val="auto"/>
                      <w:szCs w:val="21"/>
                      <w:highlight w:val="none"/>
                    </w:rPr>
                    <w:t>-N</w:t>
                  </w:r>
                </w:p>
              </w:tc>
            </w:tr>
            <w:tr w14:paraId="205AF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1107" w:type="pct"/>
                  <w:shd w:val="clear" w:color="auto" w:fill="auto"/>
                  <w:vAlign w:val="center"/>
                </w:tcPr>
                <w:p w14:paraId="253C3BB8">
                  <w:pPr>
                    <w:widowControl/>
                    <w:adjustRightInd w:val="0"/>
                    <w:snapToGrid w:val="0"/>
                    <w:jc w:val="center"/>
                    <w:rPr>
                      <w:color w:val="auto"/>
                      <w:szCs w:val="21"/>
                      <w:highlight w:val="none"/>
                    </w:rPr>
                  </w:pPr>
                  <w:r>
                    <w:rPr>
                      <w:color w:val="auto"/>
                      <w:szCs w:val="21"/>
                      <w:highlight w:val="none"/>
                    </w:rPr>
                    <w:t>单位</w:t>
                  </w:r>
                </w:p>
              </w:tc>
              <w:tc>
                <w:tcPr>
                  <w:tcW w:w="772" w:type="pct"/>
                  <w:shd w:val="clear" w:color="auto" w:fill="auto"/>
                  <w:vAlign w:val="center"/>
                </w:tcPr>
                <w:p w14:paraId="2AE4B98B">
                  <w:pPr>
                    <w:widowControl/>
                    <w:adjustRightInd w:val="0"/>
                    <w:snapToGrid w:val="0"/>
                    <w:jc w:val="center"/>
                    <w:rPr>
                      <w:color w:val="auto"/>
                      <w:szCs w:val="21"/>
                      <w:highlight w:val="none"/>
                    </w:rPr>
                  </w:pPr>
                  <w:r>
                    <w:rPr>
                      <w:color w:val="auto"/>
                      <w:szCs w:val="21"/>
                      <w:highlight w:val="none"/>
                    </w:rPr>
                    <w:t>——</w:t>
                  </w:r>
                </w:p>
              </w:tc>
              <w:tc>
                <w:tcPr>
                  <w:tcW w:w="803" w:type="pct"/>
                  <w:shd w:val="clear" w:color="auto" w:fill="auto"/>
                  <w:vAlign w:val="center"/>
                </w:tcPr>
                <w:p w14:paraId="59214A95">
                  <w:pPr>
                    <w:widowControl/>
                    <w:adjustRightInd w:val="0"/>
                    <w:snapToGrid w:val="0"/>
                    <w:jc w:val="center"/>
                    <w:rPr>
                      <w:color w:val="auto"/>
                      <w:szCs w:val="21"/>
                      <w:highlight w:val="none"/>
                    </w:rPr>
                  </w:pPr>
                  <w:r>
                    <w:rPr>
                      <w:color w:val="auto"/>
                      <w:szCs w:val="21"/>
                      <w:highlight w:val="none"/>
                    </w:rPr>
                    <w:t>mg/L</w:t>
                  </w:r>
                </w:p>
              </w:tc>
              <w:tc>
                <w:tcPr>
                  <w:tcW w:w="763" w:type="pct"/>
                  <w:shd w:val="clear" w:color="auto" w:fill="auto"/>
                  <w:vAlign w:val="center"/>
                </w:tcPr>
                <w:p w14:paraId="59D22E74">
                  <w:pPr>
                    <w:widowControl/>
                    <w:adjustRightInd w:val="0"/>
                    <w:snapToGrid w:val="0"/>
                    <w:jc w:val="center"/>
                    <w:rPr>
                      <w:color w:val="auto"/>
                      <w:szCs w:val="21"/>
                      <w:highlight w:val="none"/>
                    </w:rPr>
                  </w:pPr>
                  <w:r>
                    <w:rPr>
                      <w:color w:val="auto"/>
                      <w:szCs w:val="21"/>
                      <w:highlight w:val="none"/>
                    </w:rPr>
                    <w:t>mg/L</w:t>
                  </w:r>
                </w:p>
              </w:tc>
              <w:tc>
                <w:tcPr>
                  <w:tcW w:w="703" w:type="pct"/>
                  <w:shd w:val="clear" w:color="auto" w:fill="auto"/>
                  <w:vAlign w:val="center"/>
                </w:tcPr>
                <w:p w14:paraId="677D2B2C">
                  <w:pPr>
                    <w:widowControl/>
                    <w:adjustRightInd w:val="0"/>
                    <w:snapToGrid w:val="0"/>
                    <w:jc w:val="center"/>
                    <w:rPr>
                      <w:color w:val="auto"/>
                      <w:szCs w:val="21"/>
                      <w:highlight w:val="none"/>
                    </w:rPr>
                  </w:pPr>
                  <w:r>
                    <w:rPr>
                      <w:color w:val="auto"/>
                      <w:szCs w:val="21"/>
                      <w:highlight w:val="none"/>
                    </w:rPr>
                    <w:t>mg/L</w:t>
                  </w:r>
                </w:p>
              </w:tc>
              <w:tc>
                <w:tcPr>
                  <w:tcW w:w="848" w:type="pct"/>
                  <w:shd w:val="clear" w:color="auto" w:fill="auto"/>
                  <w:vAlign w:val="center"/>
                </w:tcPr>
                <w:p w14:paraId="66869B26">
                  <w:pPr>
                    <w:widowControl/>
                    <w:adjustRightInd w:val="0"/>
                    <w:snapToGrid w:val="0"/>
                    <w:jc w:val="center"/>
                    <w:rPr>
                      <w:color w:val="auto"/>
                      <w:szCs w:val="21"/>
                      <w:highlight w:val="none"/>
                    </w:rPr>
                  </w:pPr>
                  <w:r>
                    <w:rPr>
                      <w:color w:val="auto"/>
                      <w:szCs w:val="21"/>
                      <w:highlight w:val="none"/>
                    </w:rPr>
                    <w:t>mg/L</w:t>
                  </w:r>
                </w:p>
              </w:tc>
            </w:tr>
            <w:tr w14:paraId="4AC6D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1107" w:type="pct"/>
                  <w:shd w:val="clear" w:color="auto" w:fill="auto"/>
                  <w:vAlign w:val="center"/>
                </w:tcPr>
                <w:p w14:paraId="1BD53A2A">
                  <w:pPr>
                    <w:widowControl/>
                    <w:adjustRightInd w:val="0"/>
                    <w:snapToGrid w:val="0"/>
                    <w:jc w:val="center"/>
                    <w:rPr>
                      <w:color w:val="auto"/>
                      <w:szCs w:val="21"/>
                      <w:highlight w:val="none"/>
                    </w:rPr>
                  </w:pPr>
                  <w:r>
                    <w:rPr>
                      <w:color w:val="auto"/>
                      <w:szCs w:val="21"/>
                      <w:highlight w:val="none"/>
                    </w:rPr>
                    <w:t>排放限值</w:t>
                  </w:r>
                </w:p>
              </w:tc>
              <w:tc>
                <w:tcPr>
                  <w:tcW w:w="1289" w:type="dxa"/>
                  <w:shd w:val="clear" w:color="auto" w:fill="auto"/>
                  <w:vAlign w:val="center"/>
                </w:tcPr>
                <w:p w14:paraId="58B16019">
                  <w:pPr>
                    <w:widowControl/>
                    <w:adjustRightInd w:val="0"/>
                    <w:snapToGrid w:val="0"/>
                    <w:jc w:val="center"/>
                    <w:rPr>
                      <w:color w:val="auto"/>
                      <w:szCs w:val="21"/>
                      <w:highlight w:val="none"/>
                    </w:rPr>
                  </w:pPr>
                  <w:r>
                    <w:rPr>
                      <w:color w:val="auto"/>
                      <w:szCs w:val="21"/>
                      <w:highlight w:val="none"/>
                    </w:rPr>
                    <w:t>6~9</w:t>
                  </w:r>
                </w:p>
              </w:tc>
              <w:tc>
                <w:tcPr>
                  <w:tcW w:w="1341" w:type="dxa"/>
                  <w:shd w:val="clear" w:color="auto" w:fill="auto"/>
                  <w:vAlign w:val="center"/>
                </w:tcPr>
                <w:p w14:paraId="6A983299">
                  <w:pPr>
                    <w:widowControl/>
                    <w:adjustRightInd w:val="0"/>
                    <w:snapToGrid w:val="0"/>
                    <w:jc w:val="center"/>
                    <w:rPr>
                      <w:color w:val="auto"/>
                      <w:szCs w:val="21"/>
                      <w:highlight w:val="none"/>
                    </w:rPr>
                  </w:pPr>
                  <w:r>
                    <w:rPr>
                      <w:color w:val="auto"/>
                      <w:szCs w:val="21"/>
                      <w:highlight w:val="none"/>
                    </w:rPr>
                    <w:t>≤</w:t>
                  </w:r>
                  <w:r>
                    <w:rPr>
                      <w:rFonts w:hint="eastAsia"/>
                      <w:color w:val="auto"/>
                      <w:szCs w:val="21"/>
                      <w:highlight w:val="none"/>
                    </w:rPr>
                    <w:t>500</w:t>
                  </w:r>
                </w:p>
              </w:tc>
              <w:tc>
                <w:tcPr>
                  <w:tcW w:w="1275" w:type="dxa"/>
                  <w:shd w:val="clear" w:color="auto" w:fill="auto"/>
                  <w:vAlign w:val="center"/>
                </w:tcPr>
                <w:p w14:paraId="1355FD80">
                  <w:pPr>
                    <w:widowControl/>
                    <w:adjustRightInd w:val="0"/>
                    <w:snapToGrid w:val="0"/>
                    <w:jc w:val="center"/>
                    <w:rPr>
                      <w:color w:val="auto"/>
                      <w:szCs w:val="21"/>
                      <w:highlight w:val="none"/>
                    </w:rPr>
                  </w:pPr>
                  <w:r>
                    <w:rPr>
                      <w:color w:val="auto"/>
                      <w:szCs w:val="21"/>
                      <w:highlight w:val="none"/>
                    </w:rPr>
                    <w:t>≤30</w:t>
                  </w:r>
                  <w:r>
                    <w:rPr>
                      <w:rFonts w:hint="eastAsia"/>
                      <w:color w:val="auto"/>
                      <w:szCs w:val="21"/>
                      <w:highlight w:val="none"/>
                    </w:rPr>
                    <w:t>0</w:t>
                  </w:r>
                </w:p>
              </w:tc>
              <w:tc>
                <w:tcPr>
                  <w:tcW w:w="1175" w:type="dxa"/>
                  <w:shd w:val="clear" w:color="auto" w:fill="auto"/>
                  <w:vAlign w:val="center"/>
                </w:tcPr>
                <w:p w14:paraId="576E9B43">
                  <w:pPr>
                    <w:widowControl/>
                    <w:adjustRightInd w:val="0"/>
                    <w:snapToGrid w:val="0"/>
                    <w:jc w:val="center"/>
                    <w:rPr>
                      <w:color w:val="auto"/>
                      <w:szCs w:val="21"/>
                      <w:highlight w:val="none"/>
                    </w:rPr>
                  </w:pPr>
                  <w:r>
                    <w:rPr>
                      <w:color w:val="auto"/>
                      <w:szCs w:val="21"/>
                      <w:highlight w:val="none"/>
                    </w:rPr>
                    <w:t>≤</w:t>
                  </w:r>
                  <w:r>
                    <w:rPr>
                      <w:rFonts w:hint="eastAsia"/>
                      <w:color w:val="auto"/>
                      <w:szCs w:val="21"/>
                      <w:highlight w:val="none"/>
                    </w:rPr>
                    <w:t>400</w:t>
                  </w:r>
                </w:p>
              </w:tc>
              <w:tc>
                <w:tcPr>
                  <w:tcW w:w="1417" w:type="dxa"/>
                  <w:shd w:val="clear" w:color="auto" w:fill="auto"/>
                  <w:vAlign w:val="center"/>
                </w:tcPr>
                <w:p w14:paraId="56F13E06">
                  <w:pPr>
                    <w:widowControl/>
                    <w:adjustRightInd w:val="0"/>
                    <w:snapToGrid w:val="0"/>
                    <w:jc w:val="center"/>
                    <w:rPr>
                      <w:color w:val="auto"/>
                      <w:szCs w:val="21"/>
                      <w:highlight w:val="none"/>
                    </w:rPr>
                  </w:pPr>
                  <w:r>
                    <w:rPr>
                      <w:rFonts w:hint="eastAsia"/>
                      <w:color w:val="auto"/>
                      <w:szCs w:val="21"/>
                      <w:highlight w:val="none"/>
                    </w:rPr>
                    <w:t>--</w:t>
                  </w:r>
                </w:p>
              </w:tc>
            </w:tr>
          </w:tbl>
          <w:p w14:paraId="48BFD477">
            <w:pPr>
              <w:spacing w:before="120" w:beforeLines="50" w:line="360" w:lineRule="auto"/>
              <w:ind w:firstLine="482" w:firstLineChars="200"/>
              <w:rPr>
                <w:b/>
                <w:bCs/>
                <w:color w:val="auto"/>
                <w:sz w:val="24"/>
                <w:highlight w:val="none"/>
              </w:rPr>
            </w:pPr>
            <w:r>
              <w:rPr>
                <w:b/>
                <w:bCs/>
                <w:color w:val="auto"/>
                <w:sz w:val="24"/>
                <w:highlight w:val="none"/>
              </w:rPr>
              <w:t>2、大气污染物排放标准</w:t>
            </w:r>
          </w:p>
          <w:p w14:paraId="593A0345">
            <w:pPr>
              <w:pStyle w:val="95"/>
              <w:spacing w:before="120"/>
              <w:rPr>
                <w:b/>
                <w:bCs/>
                <w:color w:val="auto"/>
                <w:sz w:val="21"/>
                <w:szCs w:val="21"/>
                <w:highlight w:val="none"/>
              </w:rPr>
            </w:pPr>
            <w:r>
              <w:rPr>
                <w:rFonts w:hint="eastAsia"/>
                <w:b/>
                <w:bCs/>
                <w:color w:val="auto"/>
                <w:sz w:val="21"/>
                <w:szCs w:val="21"/>
                <w:highlight w:val="none"/>
              </w:rPr>
              <w:t>项目大气污染物排放标准</w:t>
            </w:r>
          </w:p>
          <w:tbl>
            <w:tblPr>
              <w:tblStyle w:val="3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61"/>
              <w:gridCol w:w="1053"/>
              <w:gridCol w:w="1516"/>
              <w:gridCol w:w="509"/>
              <w:gridCol w:w="957"/>
              <w:gridCol w:w="761"/>
              <w:gridCol w:w="2711"/>
            </w:tblGrid>
            <w:tr w14:paraId="36C52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restart"/>
                  <w:shd w:val="clear" w:color="auto" w:fill="auto"/>
                  <w:vAlign w:val="center"/>
                </w:tcPr>
                <w:p w14:paraId="0D493A83">
                  <w:pPr>
                    <w:pStyle w:val="105"/>
                    <w:rPr>
                      <w:b/>
                      <w:bCs/>
                      <w:color w:val="auto"/>
                      <w:highlight w:val="none"/>
                    </w:rPr>
                  </w:pPr>
                  <w:r>
                    <w:rPr>
                      <w:rFonts w:hint="eastAsia"/>
                      <w:b/>
                      <w:bCs/>
                      <w:color w:val="auto"/>
                      <w:highlight w:val="none"/>
                    </w:rPr>
                    <w:t>废气种类</w:t>
                  </w:r>
                </w:p>
              </w:tc>
              <w:tc>
                <w:tcPr>
                  <w:tcW w:w="636" w:type="pct"/>
                  <w:vMerge w:val="restart"/>
                  <w:shd w:val="clear" w:color="auto" w:fill="auto"/>
                  <w:noWrap/>
                  <w:vAlign w:val="center"/>
                </w:tcPr>
                <w:p w14:paraId="0379E15A">
                  <w:pPr>
                    <w:pStyle w:val="105"/>
                    <w:rPr>
                      <w:b/>
                      <w:bCs/>
                      <w:color w:val="auto"/>
                      <w:sz w:val="22"/>
                      <w:szCs w:val="22"/>
                      <w:highlight w:val="none"/>
                    </w:rPr>
                  </w:pPr>
                  <w:r>
                    <w:rPr>
                      <w:rFonts w:hint="eastAsia"/>
                      <w:b/>
                      <w:bCs/>
                      <w:color w:val="auto"/>
                      <w:sz w:val="22"/>
                      <w:szCs w:val="22"/>
                      <w:highlight w:val="none"/>
                    </w:rPr>
                    <w:t>排气筒</w:t>
                  </w:r>
                </w:p>
                <w:p w14:paraId="3D6F3B77">
                  <w:pPr>
                    <w:pStyle w:val="105"/>
                    <w:rPr>
                      <w:b/>
                      <w:bCs/>
                      <w:color w:val="auto"/>
                      <w:sz w:val="22"/>
                      <w:szCs w:val="22"/>
                      <w:highlight w:val="none"/>
                    </w:rPr>
                  </w:pPr>
                  <w:r>
                    <w:rPr>
                      <w:rFonts w:hint="eastAsia"/>
                      <w:b/>
                      <w:bCs/>
                      <w:color w:val="auto"/>
                      <w:sz w:val="22"/>
                      <w:szCs w:val="22"/>
                      <w:highlight w:val="none"/>
                    </w:rPr>
                    <w:t>编号</w:t>
                  </w:r>
                </w:p>
              </w:tc>
              <w:tc>
                <w:tcPr>
                  <w:tcW w:w="916" w:type="pct"/>
                  <w:vMerge w:val="restart"/>
                  <w:shd w:val="clear" w:color="auto" w:fill="auto"/>
                  <w:vAlign w:val="center"/>
                </w:tcPr>
                <w:p w14:paraId="313C86A7">
                  <w:pPr>
                    <w:pStyle w:val="105"/>
                    <w:rPr>
                      <w:b/>
                      <w:bCs/>
                      <w:color w:val="auto"/>
                      <w:highlight w:val="none"/>
                    </w:rPr>
                  </w:pPr>
                  <w:r>
                    <w:rPr>
                      <w:rFonts w:hint="eastAsia"/>
                      <w:b/>
                      <w:bCs/>
                      <w:color w:val="auto"/>
                      <w:highlight w:val="none"/>
                    </w:rPr>
                    <w:t>污染物</w:t>
                  </w:r>
                </w:p>
              </w:tc>
              <w:tc>
                <w:tcPr>
                  <w:tcW w:w="307" w:type="pct"/>
                  <w:vMerge w:val="restart"/>
                  <w:shd w:val="clear" w:color="auto" w:fill="auto"/>
                  <w:vAlign w:val="center"/>
                </w:tcPr>
                <w:p w14:paraId="38709216">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b/>
                      <w:bCs/>
                      <w:color w:val="auto"/>
                      <w:highlight w:val="none"/>
                    </w:rPr>
                    <w:t>排气筒高度</w:t>
                  </w:r>
                  <w:r>
                    <w:rPr>
                      <w:b/>
                      <w:bCs/>
                      <w:color w:val="auto"/>
                      <w:highlight w:val="none"/>
                    </w:rPr>
                    <w:t>m</w:t>
                  </w:r>
                </w:p>
                <w:p w14:paraId="1C0D8CDE">
                  <w:pPr>
                    <w:pStyle w:val="105"/>
                    <w:rPr>
                      <w:b/>
                      <w:bCs/>
                      <w:color w:val="auto"/>
                      <w:highlight w:val="none"/>
                    </w:rPr>
                  </w:pPr>
                </w:p>
              </w:tc>
              <w:tc>
                <w:tcPr>
                  <w:tcW w:w="578" w:type="pct"/>
                  <w:vMerge w:val="restart"/>
                  <w:shd w:val="clear" w:color="auto" w:fill="auto"/>
                  <w:vAlign w:val="center"/>
                </w:tcPr>
                <w:p w14:paraId="41A8A73F">
                  <w:pPr>
                    <w:pStyle w:val="105"/>
                    <w:rPr>
                      <w:b/>
                      <w:bCs/>
                      <w:color w:val="auto"/>
                      <w:highlight w:val="none"/>
                    </w:rPr>
                  </w:pPr>
                  <w:r>
                    <w:rPr>
                      <w:rFonts w:hint="eastAsia"/>
                      <w:b/>
                      <w:bCs/>
                      <w:color w:val="auto"/>
                      <w:highlight w:val="none"/>
                    </w:rPr>
                    <w:t>最高允许排放浓度mg/m</w:t>
                  </w:r>
                  <w:r>
                    <w:rPr>
                      <w:rFonts w:hint="eastAsia"/>
                      <w:b/>
                      <w:bCs/>
                      <w:color w:val="auto"/>
                      <w:highlight w:val="none"/>
                      <w:vertAlign w:val="superscript"/>
                    </w:rPr>
                    <w:t>3</w:t>
                  </w:r>
                </w:p>
              </w:tc>
              <w:tc>
                <w:tcPr>
                  <w:tcW w:w="460" w:type="pct"/>
                  <w:vMerge w:val="restart"/>
                  <w:shd w:val="clear" w:color="auto" w:fill="auto"/>
                  <w:vAlign w:val="center"/>
                </w:tcPr>
                <w:p w14:paraId="3E73488B">
                  <w:pPr>
                    <w:pStyle w:val="105"/>
                    <w:rPr>
                      <w:b/>
                      <w:bCs/>
                      <w:color w:val="auto"/>
                      <w:highlight w:val="none"/>
                    </w:rPr>
                  </w:pPr>
                  <w:r>
                    <w:rPr>
                      <w:rFonts w:hint="eastAsia"/>
                      <w:b/>
                      <w:bCs/>
                      <w:color w:val="auto"/>
                      <w:highlight w:val="none"/>
                    </w:rPr>
                    <w:t>最高允许排放速率</w:t>
                  </w:r>
                  <w:r>
                    <w:rPr>
                      <w:b/>
                      <w:bCs/>
                      <w:color w:val="auto"/>
                      <w:highlight w:val="none"/>
                    </w:rPr>
                    <w:t>kg/h</w:t>
                  </w:r>
                </w:p>
              </w:tc>
              <w:tc>
                <w:tcPr>
                  <w:tcW w:w="1639" w:type="pct"/>
                  <w:vMerge w:val="restart"/>
                  <w:shd w:val="clear" w:color="auto" w:fill="auto"/>
                  <w:vAlign w:val="center"/>
                </w:tcPr>
                <w:p w14:paraId="0D9194A5">
                  <w:pPr>
                    <w:pStyle w:val="105"/>
                    <w:rPr>
                      <w:b/>
                      <w:bCs/>
                      <w:color w:val="auto"/>
                      <w:highlight w:val="none"/>
                    </w:rPr>
                  </w:pPr>
                  <w:r>
                    <w:rPr>
                      <w:rFonts w:hint="eastAsia"/>
                      <w:b/>
                      <w:bCs/>
                      <w:color w:val="auto"/>
                      <w:highlight w:val="none"/>
                    </w:rPr>
                    <w:t>标准来源</w:t>
                  </w:r>
                </w:p>
              </w:tc>
            </w:tr>
            <w:tr w14:paraId="7304B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5590A12B">
                  <w:pPr>
                    <w:pStyle w:val="105"/>
                    <w:rPr>
                      <w:color w:val="auto"/>
                      <w:highlight w:val="none"/>
                    </w:rPr>
                  </w:pPr>
                </w:p>
              </w:tc>
              <w:tc>
                <w:tcPr>
                  <w:tcW w:w="636" w:type="pct"/>
                  <w:vMerge w:val="continue"/>
                  <w:shd w:val="clear" w:color="auto" w:fill="auto"/>
                  <w:vAlign w:val="center"/>
                </w:tcPr>
                <w:p w14:paraId="6303E7B9">
                  <w:pPr>
                    <w:pStyle w:val="105"/>
                    <w:rPr>
                      <w:color w:val="auto"/>
                      <w:sz w:val="22"/>
                      <w:szCs w:val="22"/>
                      <w:highlight w:val="none"/>
                    </w:rPr>
                  </w:pPr>
                </w:p>
              </w:tc>
              <w:tc>
                <w:tcPr>
                  <w:tcW w:w="916" w:type="pct"/>
                  <w:vMerge w:val="continue"/>
                  <w:shd w:val="clear" w:color="auto" w:fill="auto"/>
                  <w:vAlign w:val="center"/>
                </w:tcPr>
                <w:p w14:paraId="29FE5535">
                  <w:pPr>
                    <w:pStyle w:val="105"/>
                    <w:rPr>
                      <w:color w:val="auto"/>
                      <w:highlight w:val="none"/>
                    </w:rPr>
                  </w:pPr>
                </w:p>
              </w:tc>
              <w:tc>
                <w:tcPr>
                  <w:tcW w:w="307" w:type="pct"/>
                  <w:vMerge w:val="continue"/>
                  <w:shd w:val="clear" w:color="auto" w:fill="auto"/>
                  <w:vAlign w:val="center"/>
                </w:tcPr>
                <w:p w14:paraId="7E88E6CC">
                  <w:pPr>
                    <w:pStyle w:val="105"/>
                    <w:rPr>
                      <w:color w:val="auto"/>
                      <w:highlight w:val="none"/>
                    </w:rPr>
                  </w:pPr>
                </w:p>
              </w:tc>
              <w:tc>
                <w:tcPr>
                  <w:tcW w:w="578" w:type="pct"/>
                  <w:vMerge w:val="continue"/>
                  <w:shd w:val="clear" w:color="auto" w:fill="auto"/>
                  <w:vAlign w:val="center"/>
                </w:tcPr>
                <w:p w14:paraId="220FD09E">
                  <w:pPr>
                    <w:pStyle w:val="105"/>
                    <w:rPr>
                      <w:color w:val="auto"/>
                      <w:highlight w:val="none"/>
                    </w:rPr>
                  </w:pPr>
                </w:p>
              </w:tc>
              <w:tc>
                <w:tcPr>
                  <w:tcW w:w="460" w:type="pct"/>
                  <w:vMerge w:val="continue"/>
                  <w:shd w:val="clear" w:color="auto" w:fill="auto"/>
                  <w:vAlign w:val="center"/>
                </w:tcPr>
                <w:p w14:paraId="6E70F1BF">
                  <w:pPr>
                    <w:pStyle w:val="105"/>
                    <w:rPr>
                      <w:color w:val="auto"/>
                      <w:highlight w:val="none"/>
                    </w:rPr>
                  </w:pPr>
                </w:p>
              </w:tc>
              <w:tc>
                <w:tcPr>
                  <w:tcW w:w="1639" w:type="pct"/>
                  <w:vMerge w:val="continue"/>
                  <w:shd w:val="clear" w:color="auto" w:fill="auto"/>
                  <w:vAlign w:val="center"/>
                </w:tcPr>
                <w:p w14:paraId="0AAE2CC2">
                  <w:pPr>
                    <w:pStyle w:val="105"/>
                    <w:rPr>
                      <w:color w:val="auto"/>
                      <w:highlight w:val="none"/>
                    </w:rPr>
                  </w:pPr>
                </w:p>
              </w:tc>
            </w:tr>
            <w:tr w14:paraId="21CAD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restart"/>
                  <w:shd w:val="clear" w:color="auto" w:fill="auto"/>
                  <w:vAlign w:val="center"/>
                </w:tcPr>
                <w:p w14:paraId="62B73D7A">
                  <w:pPr>
                    <w:pStyle w:val="105"/>
                    <w:rPr>
                      <w:rFonts w:hint="eastAsia" w:ascii="Times New Roman" w:hAnsi="Times New Roman" w:eastAsia="宋体" w:cs="Times New Roman"/>
                      <w:color w:val="auto"/>
                      <w:kern w:val="2"/>
                      <w:sz w:val="21"/>
                      <w:szCs w:val="21"/>
                      <w:lang w:val="en-US" w:eastAsia="zh-CN" w:bidi="ar-SA"/>
                    </w:rPr>
                  </w:pPr>
                  <w:r>
                    <w:rPr>
                      <w:rFonts w:hint="eastAsia"/>
                      <w:color w:val="auto"/>
                      <w:lang w:val="en-US"/>
                    </w:rPr>
                    <w:t xml:space="preserve">烘料、注塑工序废气 </w:t>
                  </w:r>
                </w:p>
              </w:tc>
              <w:tc>
                <w:tcPr>
                  <w:tcW w:w="636" w:type="pct"/>
                  <w:vMerge w:val="restart"/>
                  <w:shd w:val="clear" w:color="auto" w:fill="auto"/>
                  <w:vAlign w:val="center"/>
                </w:tcPr>
                <w:p w14:paraId="4F2D77AE">
                  <w:pPr>
                    <w:pStyle w:val="105"/>
                    <w:rPr>
                      <w:rFonts w:hint="eastAsia" w:ascii="Times New Roman" w:hAnsi="Times New Roman" w:eastAsia="宋体" w:cs="Times New Roman"/>
                      <w:color w:val="auto"/>
                      <w:kern w:val="2"/>
                      <w:sz w:val="21"/>
                      <w:szCs w:val="21"/>
                      <w:lang w:val="en-US" w:eastAsia="zh-CN" w:bidi="ar-SA"/>
                    </w:rPr>
                  </w:pPr>
                  <w:r>
                    <w:rPr>
                      <w:color w:val="auto"/>
                      <w:lang w:val="en-US"/>
                    </w:rPr>
                    <w:t>G1</w:t>
                  </w:r>
                </w:p>
              </w:tc>
              <w:tc>
                <w:tcPr>
                  <w:tcW w:w="916" w:type="pct"/>
                  <w:shd w:val="clear" w:color="auto" w:fill="auto"/>
                  <w:noWrap/>
                  <w:vAlign w:val="center"/>
                </w:tcPr>
                <w:p w14:paraId="7373E58C">
                  <w:pPr>
                    <w:pStyle w:val="105"/>
                    <w:rPr>
                      <w:rFonts w:ascii="Times New Roman" w:hAnsi="Times New Roman" w:eastAsia="宋体" w:cs="Times New Roman"/>
                      <w:color w:val="auto"/>
                      <w:kern w:val="2"/>
                      <w:sz w:val="21"/>
                      <w:szCs w:val="21"/>
                      <w:lang w:val="zh-CN" w:eastAsia="zh-CN" w:bidi="ar-SA"/>
                    </w:rPr>
                  </w:pPr>
                  <w:r>
                    <w:rPr>
                      <w:color w:val="auto"/>
                      <w:lang w:val="en-US"/>
                    </w:rPr>
                    <w:t>非甲烷总烃</w:t>
                  </w:r>
                </w:p>
              </w:tc>
              <w:tc>
                <w:tcPr>
                  <w:tcW w:w="307" w:type="pct"/>
                  <w:vMerge w:val="restart"/>
                  <w:shd w:val="clear" w:color="auto" w:fill="auto"/>
                  <w:vAlign w:val="center"/>
                </w:tcPr>
                <w:p w14:paraId="3C7D811B">
                  <w:pPr>
                    <w:pStyle w:val="105"/>
                    <w:rPr>
                      <w:rFonts w:hint="default" w:ascii="Times New Roman" w:hAnsi="Times New Roman" w:eastAsia="宋体" w:cs="Times New Roman"/>
                      <w:color w:val="auto"/>
                      <w:kern w:val="2"/>
                      <w:sz w:val="21"/>
                      <w:szCs w:val="21"/>
                      <w:lang w:val="en-US" w:eastAsia="zh-CN" w:bidi="ar-SA"/>
                    </w:rPr>
                  </w:pPr>
                  <w:r>
                    <w:rPr>
                      <w:rFonts w:hint="eastAsia"/>
                      <w:color w:val="auto"/>
                      <w:lang w:val="en-US" w:eastAsia="zh-CN"/>
                    </w:rPr>
                    <w:t>40</w:t>
                  </w:r>
                  <w:r>
                    <w:rPr>
                      <w:color w:val="auto"/>
                      <w:lang w:val="en-US"/>
                    </w:rPr>
                    <w:t>m</w:t>
                  </w:r>
                </w:p>
              </w:tc>
              <w:tc>
                <w:tcPr>
                  <w:tcW w:w="578" w:type="pct"/>
                  <w:shd w:val="clear" w:color="auto" w:fill="auto"/>
                  <w:vAlign w:val="center"/>
                </w:tcPr>
                <w:p w14:paraId="7C0701B8">
                  <w:pPr>
                    <w:pStyle w:val="105"/>
                    <w:rPr>
                      <w:rFonts w:hint="default" w:ascii="Times New Roman" w:hAnsi="Times New Roman" w:eastAsia="宋体" w:cs="Times New Roman"/>
                      <w:color w:val="auto"/>
                      <w:kern w:val="2"/>
                      <w:sz w:val="21"/>
                      <w:szCs w:val="21"/>
                      <w:lang w:val="en-US" w:eastAsia="zh-CN" w:bidi="ar-SA"/>
                    </w:rPr>
                  </w:pPr>
                  <w:r>
                    <w:rPr>
                      <w:rFonts w:hint="eastAsia"/>
                      <w:color w:val="auto"/>
                      <w:lang w:val="en-US"/>
                    </w:rPr>
                    <w:t>100</w:t>
                  </w:r>
                </w:p>
              </w:tc>
              <w:tc>
                <w:tcPr>
                  <w:tcW w:w="460" w:type="pct"/>
                  <w:shd w:val="clear" w:color="auto" w:fill="auto"/>
                  <w:vAlign w:val="center"/>
                </w:tcPr>
                <w:p w14:paraId="3CA623F5">
                  <w:pPr>
                    <w:pStyle w:val="105"/>
                    <w:rPr>
                      <w:rFonts w:hint="eastAsia" w:ascii="Times New Roman" w:hAnsi="Times New Roman" w:eastAsia="宋体" w:cs="Times New Roman"/>
                      <w:color w:val="auto"/>
                      <w:kern w:val="2"/>
                      <w:sz w:val="21"/>
                      <w:szCs w:val="21"/>
                      <w:lang w:val="zh-CN" w:eastAsia="zh-CN" w:bidi="ar-SA"/>
                    </w:rPr>
                  </w:pPr>
                  <w:r>
                    <w:rPr>
                      <w:color w:val="auto"/>
                      <w:lang w:val="en-US"/>
                    </w:rPr>
                    <w:t>/</w:t>
                  </w:r>
                </w:p>
              </w:tc>
              <w:tc>
                <w:tcPr>
                  <w:tcW w:w="1639" w:type="pct"/>
                  <w:vMerge w:val="restart"/>
                  <w:shd w:val="clear" w:color="auto" w:fill="auto"/>
                  <w:vAlign w:val="center"/>
                </w:tcPr>
                <w:p w14:paraId="0C9B433C">
                  <w:pPr>
                    <w:pStyle w:val="105"/>
                    <w:keepNext w:val="0"/>
                    <w:keepLines w:val="0"/>
                    <w:suppressLineNumbers w:val="0"/>
                    <w:spacing w:before="0" w:beforeAutospacing="0" w:after="0" w:afterAutospacing="0"/>
                    <w:ind w:left="0" w:leftChars="0" w:right="0" w:rightChars="0"/>
                    <w:jc w:val="both"/>
                    <w:rPr>
                      <w:rFonts w:hint="eastAsia"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000000"/>
                      <w:highlight w:val="none"/>
                    </w:rPr>
                    <w:t>《合成树脂工业污染物排放标准》（GB31572-2015，含2024年修改单）表4大气污染物排放限值</w:t>
                  </w:r>
                </w:p>
              </w:tc>
            </w:tr>
            <w:tr w14:paraId="25FE3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18DD65A2">
                  <w:pPr>
                    <w:pStyle w:val="105"/>
                    <w:rPr>
                      <w:rFonts w:hint="eastAsia"/>
                      <w:color w:val="auto"/>
                      <w:highlight w:val="none"/>
                      <w:lang w:val="en-US" w:eastAsia="zh-CN"/>
                    </w:rPr>
                  </w:pPr>
                </w:p>
              </w:tc>
              <w:tc>
                <w:tcPr>
                  <w:tcW w:w="636" w:type="pct"/>
                  <w:vMerge w:val="continue"/>
                  <w:shd w:val="clear" w:color="auto" w:fill="auto"/>
                  <w:vAlign w:val="center"/>
                </w:tcPr>
                <w:p w14:paraId="1C41B964">
                  <w:pPr>
                    <w:pStyle w:val="105"/>
                    <w:rPr>
                      <w:rFonts w:hint="eastAsia"/>
                      <w:color w:val="auto"/>
                      <w:highlight w:val="none"/>
                    </w:rPr>
                  </w:pPr>
                </w:p>
              </w:tc>
              <w:tc>
                <w:tcPr>
                  <w:tcW w:w="916" w:type="pct"/>
                  <w:shd w:val="clear" w:color="auto" w:fill="auto"/>
                  <w:noWrap/>
                  <w:vAlign w:val="center"/>
                </w:tcPr>
                <w:p w14:paraId="0B0A48FD">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二氯甲烷</w:t>
                  </w:r>
                </w:p>
              </w:tc>
              <w:tc>
                <w:tcPr>
                  <w:tcW w:w="307" w:type="pct"/>
                  <w:vMerge w:val="continue"/>
                  <w:shd w:val="clear" w:color="auto" w:fill="auto"/>
                  <w:vAlign w:val="center"/>
                </w:tcPr>
                <w:p w14:paraId="3BB1D5A4">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p>
              </w:tc>
              <w:tc>
                <w:tcPr>
                  <w:tcW w:w="578" w:type="pct"/>
                  <w:shd w:val="clear" w:color="auto" w:fill="auto"/>
                  <w:vAlign w:val="center"/>
                </w:tcPr>
                <w:p w14:paraId="0551620B">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100</w:t>
                  </w:r>
                </w:p>
              </w:tc>
              <w:tc>
                <w:tcPr>
                  <w:tcW w:w="460" w:type="pct"/>
                  <w:shd w:val="clear" w:color="auto" w:fill="auto"/>
                  <w:vAlign w:val="center"/>
                </w:tcPr>
                <w:p w14:paraId="76D22EEA">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w:t>
                  </w:r>
                </w:p>
              </w:tc>
              <w:tc>
                <w:tcPr>
                  <w:tcW w:w="1639" w:type="pct"/>
                  <w:vMerge w:val="continue"/>
                  <w:shd w:val="clear" w:color="auto" w:fill="auto"/>
                  <w:vAlign w:val="center"/>
                </w:tcPr>
                <w:p w14:paraId="59C2C120">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b w:val="0"/>
                      <w:color w:val="auto"/>
                      <w:kern w:val="2"/>
                      <w:sz w:val="21"/>
                      <w:szCs w:val="21"/>
                      <w:highlight w:val="none"/>
                      <w:lang w:val="en-US" w:eastAsia="zh-CN" w:bidi="ar-SA"/>
                    </w:rPr>
                  </w:pPr>
                </w:p>
              </w:tc>
            </w:tr>
            <w:tr w14:paraId="494BE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6E815D8E">
                  <w:pPr>
                    <w:pStyle w:val="105"/>
                    <w:rPr>
                      <w:rFonts w:hint="eastAsia"/>
                      <w:color w:val="auto"/>
                      <w:highlight w:val="none"/>
                    </w:rPr>
                  </w:pPr>
                </w:p>
              </w:tc>
              <w:tc>
                <w:tcPr>
                  <w:tcW w:w="636" w:type="pct"/>
                  <w:vMerge w:val="continue"/>
                  <w:shd w:val="clear" w:color="auto" w:fill="auto"/>
                  <w:vAlign w:val="center"/>
                </w:tcPr>
                <w:p w14:paraId="31748079">
                  <w:pPr>
                    <w:pStyle w:val="105"/>
                    <w:rPr>
                      <w:rFonts w:hint="eastAsia"/>
                      <w:color w:val="auto"/>
                      <w:highlight w:val="none"/>
                    </w:rPr>
                  </w:pPr>
                </w:p>
              </w:tc>
              <w:tc>
                <w:tcPr>
                  <w:tcW w:w="916" w:type="pct"/>
                  <w:shd w:val="clear" w:color="auto" w:fill="auto"/>
                  <w:noWrap/>
                  <w:vAlign w:val="center"/>
                </w:tcPr>
                <w:p w14:paraId="427199BE">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酚类</w:t>
                  </w:r>
                </w:p>
              </w:tc>
              <w:tc>
                <w:tcPr>
                  <w:tcW w:w="307" w:type="pct"/>
                  <w:vMerge w:val="continue"/>
                  <w:shd w:val="clear" w:color="auto" w:fill="auto"/>
                  <w:vAlign w:val="center"/>
                </w:tcPr>
                <w:p w14:paraId="7793AB0F">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p>
              </w:tc>
              <w:tc>
                <w:tcPr>
                  <w:tcW w:w="578" w:type="pct"/>
                  <w:shd w:val="clear" w:color="auto" w:fill="auto"/>
                  <w:vAlign w:val="center"/>
                </w:tcPr>
                <w:p w14:paraId="11D76F1A">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20</w:t>
                  </w:r>
                </w:p>
              </w:tc>
              <w:tc>
                <w:tcPr>
                  <w:tcW w:w="460" w:type="pct"/>
                  <w:shd w:val="clear" w:color="auto" w:fill="auto"/>
                  <w:vAlign w:val="center"/>
                </w:tcPr>
                <w:p w14:paraId="1AEC6F24">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cs="Times New Roman"/>
                      <w:color w:val="000000"/>
                      <w:sz w:val="21"/>
                      <w:szCs w:val="21"/>
                      <w:highlight w:val="none"/>
                      <w:lang w:val="en-US" w:eastAsia="zh-CN"/>
                    </w:rPr>
                    <w:t>/</w:t>
                  </w:r>
                </w:p>
              </w:tc>
              <w:tc>
                <w:tcPr>
                  <w:tcW w:w="1639" w:type="pct"/>
                  <w:vMerge w:val="continue"/>
                  <w:shd w:val="clear" w:color="auto" w:fill="auto"/>
                  <w:vAlign w:val="center"/>
                </w:tcPr>
                <w:p w14:paraId="06FDB653">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p>
              </w:tc>
            </w:tr>
            <w:tr w14:paraId="44F2A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461FFC03">
                  <w:pPr>
                    <w:pStyle w:val="105"/>
                    <w:rPr>
                      <w:rFonts w:hint="eastAsia"/>
                      <w:color w:val="auto"/>
                      <w:highlight w:val="none"/>
                    </w:rPr>
                  </w:pPr>
                </w:p>
              </w:tc>
              <w:tc>
                <w:tcPr>
                  <w:tcW w:w="636" w:type="pct"/>
                  <w:vMerge w:val="continue"/>
                  <w:shd w:val="clear" w:color="auto" w:fill="auto"/>
                  <w:vAlign w:val="center"/>
                </w:tcPr>
                <w:p w14:paraId="4C33A9FE">
                  <w:pPr>
                    <w:pStyle w:val="105"/>
                    <w:rPr>
                      <w:rFonts w:hint="eastAsia"/>
                      <w:color w:val="auto"/>
                      <w:highlight w:val="none"/>
                    </w:rPr>
                  </w:pPr>
                </w:p>
              </w:tc>
              <w:tc>
                <w:tcPr>
                  <w:tcW w:w="916" w:type="pct"/>
                  <w:shd w:val="clear" w:color="auto" w:fill="auto"/>
                  <w:noWrap/>
                  <w:vAlign w:val="center"/>
                </w:tcPr>
                <w:p w14:paraId="1951E77F">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307" w:type="pct"/>
                  <w:vMerge w:val="continue"/>
                  <w:shd w:val="clear" w:color="auto" w:fill="auto"/>
                  <w:vAlign w:val="center"/>
                </w:tcPr>
                <w:p w14:paraId="707963E7">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p>
              </w:tc>
              <w:tc>
                <w:tcPr>
                  <w:tcW w:w="578" w:type="pct"/>
                  <w:shd w:val="clear" w:color="auto" w:fill="auto"/>
                  <w:vAlign w:val="center"/>
                </w:tcPr>
                <w:p w14:paraId="27D9E77C">
                  <w:pPr>
                    <w:pStyle w:val="105"/>
                    <w:keepNext w:val="0"/>
                    <w:keepLines w:val="0"/>
                    <w:suppressLineNumbers w:val="0"/>
                    <w:spacing w:before="0" w:beforeAutospacing="0" w:after="0" w:afterAutospacing="0"/>
                    <w:ind w:left="0" w:leftChars="0" w:right="0" w:right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460" w:type="pct"/>
                  <w:shd w:val="clear" w:color="auto" w:fill="auto"/>
                  <w:vAlign w:val="center"/>
                </w:tcPr>
                <w:p w14:paraId="42686CAE">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639" w:type="pct"/>
                  <w:vMerge w:val="continue"/>
                  <w:shd w:val="clear" w:color="auto" w:fill="auto"/>
                  <w:vAlign w:val="center"/>
                </w:tcPr>
                <w:p w14:paraId="284A40A6">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color w:val="auto"/>
                      <w:kern w:val="2"/>
                      <w:sz w:val="21"/>
                      <w:szCs w:val="21"/>
                      <w:highlight w:val="none"/>
                      <w:lang w:val="en-US" w:eastAsia="zh-CN" w:bidi="ar-SA"/>
                    </w:rPr>
                  </w:pPr>
                </w:p>
              </w:tc>
            </w:tr>
            <w:tr w14:paraId="1025E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5DFB5F2B">
                  <w:pPr>
                    <w:pStyle w:val="105"/>
                    <w:rPr>
                      <w:rFonts w:hint="eastAsia"/>
                      <w:color w:val="auto"/>
                      <w:highlight w:val="none"/>
                    </w:rPr>
                  </w:pPr>
                </w:p>
              </w:tc>
              <w:tc>
                <w:tcPr>
                  <w:tcW w:w="636" w:type="pct"/>
                  <w:vMerge w:val="continue"/>
                  <w:shd w:val="clear" w:color="auto" w:fill="auto"/>
                  <w:vAlign w:val="center"/>
                </w:tcPr>
                <w:p w14:paraId="0A8D6FE5">
                  <w:pPr>
                    <w:pStyle w:val="105"/>
                    <w:rPr>
                      <w:rFonts w:hint="eastAsia"/>
                      <w:color w:val="auto"/>
                      <w:highlight w:val="none"/>
                    </w:rPr>
                  </w:pPr>
                </w:p>
              </w:tc>
              <w:tc>
                <w:tcPr>
                  <w:tcW w:w="916" w:type="pct"/>
                  <w:shd w:val="clear" w:color="auto" w:fill="auto"/>
                  <w:noWrap/>
                  <w:vAlign w:val="center"/>
                </w:tcPr>
                <w:p w14:paraId="25E8D816">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0"/>
                      <w:sz w:val="21"/>
                      <w:szCs w:val="21"/>
                      <w:highlight w:val="none"/>
                      <w:lang w:val="en-US" w:eastAsia="zh-CN" w:bidi="en-AU"/>
                    </w:rPr>
                  </w:pPr>
                  <w:r>
                    <w:rPr>
                      <w:rFonts w:hint="eastAsia" w:ascii="Times New Roman" w:hAnsi="Times New Roman" w:eastAsia="宋体" w:cs="Times New Roman"/>
                      <w:color w:val="auto"/>
                      <w:sz w:val="21"/>
                      <w:szCs w:val="21"/>
                      <w:highlight w:val="none"/>
                      <w:lang w:val="en-US" w:eastAsia="zh-CN"/>
                    </w:rPr>
                    <w:t>臭气浓度</w:t>
                  </w:r>
                </w:p>
              </w:tc>
              <w:tc>
                <w:tcPr>
                  <w:tcW w:w="307" w:type="pct"/>
                  <w:vMerge w:val="continue"/>
                  <w:shd w:val="clear" w:color="auto" w:fill="auto"/>
                  <w:vAlign w:val="center"/>
                </w:tcPr>
                <w:p w14:paraId="7F0909E1">
                  <w:pPr>
                    <w:autoSpaceDE w:val="0"/>
                    <w:autoSpaceDN w:val="0"/>
                    <w:adjustRightInd w:val="0"/>
                    <w:jc w:val="center"/>
                    <w:rPr>
                      <w:rFonts w:hint="eastAsia" w:ascii="Times New Roman" w:hAnsi="Times New Roman" w:eastAsia="宋体" w:cs="Times New Roman"/>
                      <w:color w:val="auto"/>
                      <w:kern w:val="0"/>
                      <w:sz w:val="21"/>
                      <w:szCs w:val="21"/>
                      <w:highlight w:val="none"/>
                      <w:lang w:val="en-US" w:eastAsia="zh-CN" w:bidi="en-AU"/>
                    </w:rPr>
                  </w:pPr>
                </w:p>
              </w:tc>
              <w:tc>
                <w:tcPr>
                  <w:tcW w:w="1038" w:type="pct"/>
                  <w:gridSpan w:val="2"/>
                  <w:shd w:val="clear" w:color="auto" w:fill="auto"/>
                  <w:vAlign w:val="center"/>
                </w:tcPr>
                <w:p w14:paraId="6B779481">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000（无量纲）</w:t>
                  </w:r>
                </w:p>
              </w:tc>
              <w:tc>
                <w:tcPr>
                  <w:tcW w:w="1639" w:type="pct"/>
                  <w:shd w:val="clear" w:color="auto" w:fill="auto"/>
                  <w:vAlign w:val="center"/>
                </w:tcPr>
                <w:p w14:paraId="7841CDD2">
                  <w:pPr>
                    <w:pStyle w:val="105"/>
                    <w:keepNext w:val="0"/>
                    <w:keepLines w:val="0"/>
                    <w:suppressLineNumbers w:val="0"/>
                    <w:spacing w:before="0" w:beforeAutospacing="0" w:after="0" w:afterAutospacing="0"/>
                    <w:ind w:left="0" w:leftChars="0" w:right="0" w:rightChars="0"/>
                    <w:rPr>
                      <w:rFonts w:hint="eastAsia"/>
                      <w:color w:val="auto"/>
                      <w:highlight w:val="none"/>
                    </w:rPr>
                  </w:pPr>
                  <w:r>
                    <w:rPr>
                      <w:rFonts w:hint="default" w:ascii="Times New Roman" w:hAnsi="Times New Roman" w:cs="Times New Roman"/>
                      <w:color w:val="auto"/>
                      <w:sz w:val="21"/>
                      <w:szCs w:val="21"/>
                      <w:highlight w:val="none"/>
                    </w:rPr>
                    <w:t>《恶臭污染物排放标准》（GB14554-93）表2排放标准</w:t>
                  </w:r>
                </w:p>
              </w:tc>
            </w:tr>
            <w:tr w14:paraId="438B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460" w:type="pct"/>
                  <w:vMerge w:val="restart"/>
                  <w:shd w:val="clear" w:color="auto" w:fill="auto"/>
                  <w:vAlign w:val="center"/>
                </w:tcPr>
                <w:p w14:paraId="1FB02F57">
                  <w:pPr>
                    <w:pStyle w:val="105"/>
                    <w:rPr>
                      <w:color w:val="auto"/>
                      <w:highlight w:val="none"/>
                    </w:rPr>
                  </w:pPr>
                  <w:r>
                    <w:rPr>
                      <w:rFonts w:hint="eastAsia"/>
                      <w:color w:val="auto"/>
                      <w:highlight w:val="none"/>
                    </w:rPr>
                    <w:t>厂界无组织废气</w:t>
                  </w:r>
                </w:p>
              </w:tc>
              <w:tc>
                <w:tcPr>
                  <w:tcW w:w="636" w:type="pct"/>
                  <w:vMerge w:val="restart"/>
                  <w:shd w:val="clear" w:color="auto" w:fill="auto"/>
                  <w:vAlign w:val="center"/>
                </w:tcPr>
                <w:p w14:paraId="0B023D5F">
                  <w:pPr>
                    <w:pStyle w:val="105"/>
                    <w:rPr>
                      <w:color w:val="auto"/>
                      <w:highlight w:val="none"/>
                    </w:rPr>
                  </w:pPr>
                  <w:r>
                    <w:rPr>
                      <w:rFonts w:hint="eastAsia"/>
                      <w:color w:val="auto"/>
                      <w:highlight w:val="none"/>
                    </w:rPr>
                    <w:t>/</w:t>
                  </w:r>
                </w:p>
              </w:tc>
              <w:tc>
                <w:tcPr>
                  <w:tcW w:w="916" w:type="pct"/>
                  <w:shd w:val="clear" w:color="auto" w:fill="auto"/>
                  <w:vAlign w:val="center"/>
                </w:tcPr>
                <w:p w14:paraId="21029A5A">
                  <w:pPr>
                    <w:pStyle w:val="105"/>
                    <w:keepNext w:val="0"/>
                    <w:keepLines w:val="0"/>
                    <w:suppressLineNumbers w:val="0"/>
                    <w:spacing w:before="0" w:beforeAutospacing="0" w:after="0" w:afterAutospacing="0"/>
                    <w:ind w:left="0" w:leftChars="0" w:right="0" w:rightChars="0"/>
                    <w:rPr>
                      <w:rFonts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sz w:val="21"/>
                      <w:szCs w:val="21"/>
                      <w:highlight w:val="none"/>
                      <w:lang w:val="en-US" w:eastAsia="zh-CN"/>
                    </w:rPr>
                    <w:t>非甲烷总烃</w:t>
                  </w:r>
                </w:p>
              </w:tc>
              <w:tc>
                <w:tcPr>
                  <w:tcW w:w="307" w:type="pct"/>
                  <w:vMerge w:val="restart"/>
                  <w:shd w:val="clear" w:color="auto" w:fill="auto"/>
                  <w:vAlign w:val="center"/>
                </w:tcPr>
                <w:p w14:paraId="2787821E">
                  <w:pPr>
                    <w:pStyle w:val="105"/>
                    <w:rPr>
                      <w:color w:val="auto"/>
                      <w:highlight w:val="none"/>
                    </w:rPr>
                  </w:pPr>
                  <w:r>
                    <w:rPr>
                      <w:rFonts w:hint="eastAsia"/>
                      <w:color w:val="auto"/>
                      <w:highlight w:val="none"/>
                    </w:rPr>
                    <w:t>/</w:t>
                  </w:r>
                </w:p>
              </w:tc>
              <w:tc>
                <w:tcPr>
                  <w:tcW w:w="578" w:type="pct"/>
                  <w:shd w:val="clear" w:color="auto" w:fill="auto"/>
                  <w:vAlign w:val="center"/>
                </w:tcPr>
                <w:p w14:paraId="3212029E">
                  <w:pPr>
                    <w:pStyle w:val="105"/>
                    <w:keepNext w:val="0"/>
                    <w:keepLines w:val="0"/>
                    <w:suppressLineNumbers w:val="0"/>
                    <w:spacing w:before="0" w:beforeAutospacing="0" w:after="0" w:afterAutospacing="0"/>
                    <w:ind w:left="0" w:leftChars="0" w:right="0" w:rightChars="0"/>
                    <w:rPr>
                      <w:rFonts w:ascii="Times New Roman" w:hAnsi="Times New Roman" w:eastAsia="宋体" w:cs="Times New Roman"/>
                      <w:color w:val="auto"/>
                      <w:kern w:val="2"/>
                      <w:sz w:val="21"/>
                      <w:szCs w:val="21"/>
                      <w:highlight w:val="none"/>
                      <w:lang w:val="zh-CN" w:eastAsia="zh-CN" w:bidi="ar-SA"/>
                    </w:rPr>
                  </w:pPr>
                  <w:r>
                    <w:rPr>
                      <w:rFonts w:hint="eastAsia"/>
                      <w:color w:val="auto"/>
                      <w:highlight w:val="none"/>
                      <w:lang w:val="en-US" w:eastAsia="zh-CN"/>
                    </w:rPr>
                    <w:t>4.0</w:t>
                  </w:r>
                </w:p>
              </w:tc>
              <w:tc>
                <w:tcPr>
                  <w:tcW w:w="460" w:type="pct"/>
                  <w:shd w:val="clear" w:color="auto" w:fill="auto"/>
                  <w:vAlign w:val="center"/>
                </w:tcPr>
                <w:p w14:paraId="49CE9722">
                  <w:pPr>
                    <w:pStyle w:val="105"/>
                    <w:rPr>
                      <w:rFonts w:ascii="Times New Roman" w:hAnsi="Times New Roman" w:eastAsia="宋体" w:cs="Times New Roman"/>
                      <w:color w:val="auto"/>
                      <w:kern w:val="2"/>
                      <w:sz w:val="21"/>
                      <w:szCs w:val="21"/>
                      <w:highlight w:val="none"/>
                      <w:lang w:val="zh-CN" w:eastAsia="zh-CN" w:bidi="ar-SA"/>
                    </w:rPr>
                  </w:pPr>
                  <w:r>
                    <w:rPr>
                      <w:color w:val="auto"/>
                      <w:highlight w:val="none"/>
                    </w:rPr>
                    <w:t>/</w:t>
                  </w:r>
                </w:p>
              </w:tc>
              <w:tc>
                <w:tcPr>
                  <w:tcW w:w="1639" w:type="pct"/>
                  <w:vMerge w:val="restart"/>
                  <w:shd w:val="clear" w:color="auto" w:fill="auto"/>
                  <w:vAlign w:val="center"/>
                </w:tcPr>
                <w:p w14:paraId="60C5742B">
                  <w:pPr>
                    <w:pStyle w:val="105"/>
                    <w:rPr>
                      <w:rFonts w:hint="default" w:ascii="Times New Roman" w:hAnsi="Times New Roman" w:eastAsia="宋体" w:cs="Times New Roman"/>
                      <w:color w:val="auto"/>
                      <w:kern w:val="2"/>
                      <w:sz w:val="21"/>
                      <w:szCs w:val="21"/>
                      <w:lang w:val="en-US" w:eastAsia="zh-CN" w:bidi="ar-SA"/>
                    </w:rPr>
                  </w:pPr>
                  <w:r>
                    <w:rPr>
                      <w:color w:val="auto"/>
                    </w:rPr>
                    <w:t>《合成树脂工业污染物排放标准》（GB31572-2015）表9企业边界大气污染物浓度限值和广东省地方标准《大气污染物排放限值》(DB44/27－2001)（第二时段）无组织排放监控浓度限值较严值</w:t>
                  </w:r>
                </w:p>
              </w:tc>
            </w:tr>
            <w:tr w14:paraId="54C54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434FD452">
                  <w:pPr>
                    <w:pStyle w:val="105"/>
                    <w:rPr>
                      <w:rFonts w:hint="eastAsia"/>
                      <w:color w:val="auto"/>
                      <w:highlight w:val="none"/>
                    </w:rPr>
                  </w:pPr>
                </w:p>
              </w:tc>
              <w:tc>
                <w:tcPr>
                  <w:tcW w:w="636" w:type="pct"/>
                  <w:vMerge w:val="continue"/>
                  <w:shd w:val="clear" w:color="auto" w:fill="auto"/>
                  <w:vAlign w:val="center"/>
                </w:tcPr>
                <w:p w14:paraId="3143A434">
                  <w:pPr>
                    <w:pStyle w:val="105"/>
                    <w:rPr>
                      <w:rFonts w:hint="eastAsia"/>
                      <w:color w:val="auto"/>
                      <w:highlight w:val="none"/>
                    </w:rPr>
                  </w:pPr>
                </w:p>
              </w:tc>
              <w:tc>
                <w:tcPr>
                  <w:tcW w:w="916" w:type="pct"/>
                  <w:shd w:val="clear" w:color="auto" w:fill="auto"/>
                  <w:vAlign w:val="center"/>
                </w:tcPr>
                <w:p w14:paraId="4E00E141">
                  <w:pPr>
                    <w:pStyle w:val="105"/>
                    <w:rPr>
                      <w:rFonts w:hint="eastAsia" w:ascii="Times New Roman" w:hAnsi="Times New Roman" w:eastAsia="宋体" w:cs="Times New Roman"/>
                      <w:color w:val="auto"/>
                      <w:kern w:val="2"/>
                      <w:sz w:val="21"/>
                      <w:szCs w:val="21"/>
                      <w:lang w:val="en-US" w:eastAsia="zh-CN" w:bidi="ar-SA"/>
                    </w:rPr>
                  </w:pPr>
                  <w:r>
                    <w:rPr>
                      <w:color w:val="auto"/>
                      <w:lang w:val="en-US"/>
                    </w:rPr>
                    <w:t>颗粒物</w:t>
                  </w:r>
                </w:p>
              </w:tc>
              <w:tc>
                <w:tcPr>
                  <w:tcW w:w="307" w:type="pct"/>
                  <w:vMerge w:val="continue"/>
                  <w:shd w:val="clear" w:color="auto" w:fill="auto"/>
                  <w:vAlign w:val="center"/>
                </w:tcPr>
                <w:p w14:paraId="7DA5E5A0">
                  <w:pPr>
                    <w:pStyle w:val="105"/>
                    <w:rPr>
                      <w:rFonts w:hint="eastAsia" w:ascii="Times New Roman" w:hAnsi="Times New Roman" w:eastAsia="宋体" w:cs="Times New Roman"/>
                      <w:color w:val="auto"/>
                      <w:kern w:val="2"/>
                      <w:sz w:val="21"/>
                      <w:szCs w:val="21"/>
                      <w:lang w:val="en-US" w:eastAsia="zh-CN" w:bidi="ar-SA"/>
                    </w:rPr>
                  </w:pPr>
                </w:p>
              </w:tc>
              <w:tc>
                <w:tcPr>
                  <w:tcW w:w="578" w:type="pct"/>
                  <w:shd w:val="clear" w:color="auto" w:fill="auto"/>
                  <w:vAlign w:val="center"/>
                </w:tcPr>
                <w:p w14:paraId="76451245">
                  <w:pPr>
                    <w:pStyle w:val="105"/>
                    <w:rPr>
                      <w:rFonts w:hint="eastAsia" w:ascii="Times New Roman" w:hAnsi="Times New Roman" w:eastAsia="宋体" w:cs="Times New Roman"/>
                      <w:color w:val="auto"/>
                      <w:kern w:val="2"/>
                      <w:sz w:val="21"/>
                      <w:szCs w:val="21"/>
                      <w:lang w:val="en-US" w:eastAsia="zh-CN" w:bidi="ar-SA"/>
                    </w:rPr>
                  </w:pPr>
                  <w:r>
                    <w:rPr>
                      <w:rFonts w:hint="eastAsia"/>
                      <w:color w:val="auto"/>
                      <w:lang w:val="en-US"/>
                    </w:rPr>
                    <w:t>1.0</w:t>
                  </w:r>
                </w:p>
              </w:tc>
              <w:tc>
                <w:tcPr>
                  <w:tcW w:w="460" w:type="pct"/>
                  <w:shd w:val="clear" w:color="auto" w:fill="auto"/>
                  <w:vAlign w:val="center"/>
                </w:tcPr>
                <w:p w14:paraId="0D84F8C9">
                  <w:pPr>
                    <w:pStyle w:val="105"/>
                    <w:rPr>
                      <w:rFonts w:ascii="Times New Roman" w:hAnsi="Times New Roman" w:eastAsia="宋体" w:cs="Times New Roman"/>
                      <w:color w:val="auto"/>
                      <w:kern w:val="2"/>
                      <w:sz w:val="21"/>
                      <w:szCs w:val="21"/>
                      <w:lang w:val="en-US" w:eastAsia="zh-CN" w:bidi="ar-SA"/>
                    </w:rPr>
                  </w:pPr>
                </w:p>
              </w:tc>
              <w:tc>
                <w:tcPr>
                  <w:tcW w:w="1639" w:type="pct"/>
                  <w:vMerge w:val="continue"/>
                  <w:shd w:val="clear" w:color="auto" w:fill="auto"/>
                  <w:vAlign w:val="center"/>
                </w:tcPr>
                <w:p w14:paraId="7B2E0589">
                  <w:pPr>
                    <w:pStyle w:val="105"/>
                    <w:rPr>
                      <w:rFonts w:hint="default" w:ascii="Times New Roman" w:hAnsi="Times New Roman" w:eastAsia="宋体" w:cs="Times New Roman"/>
                      <w:color w:val="auto"/>
                      <w:kern w:val="2"/>
                      <w:sz w:val="21"/>
                      <w:szCs w:val="21"/>
                      <w:lang w:val="en-US" w:eastAsia="zh-CN" w:bidi="ar-SA"/>
                    </w:rPr>
                  </w:pPr>
                </w:p>
              </w:tc>
            </w:tr>
            <w:tr w14:paraId="5670E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54840474">
                  <w:pPr>
                    <w:pStyle w:val="105"/>
                    <w:rPr>
                      <w:rFonts w:hint="eastAsia"/>
                      <w:color w:val="auto"/>
                      <w:highlight w:val="none"/>
                    </w:rPr>
                  </w:pPr>
                </w:p>
              </w:tc>
              <w:tc>
                <w:tcPr>
                  <w:tcW w:w="636" w:type="pct"/>
                  <w:vMerge w:val="continue"/>
                  <w:shd w:val="clear" w:color="auto" w:fill="auto"/>
                  <w:vAlign w:val="center"/>
                </w:tcPr>
                <w:p w14:paraId="1BC09868">
                  <w:pPr>
                    <w:pStyle w:val="105"/>
                    <w:rPr>
                      <w:rFonts w:hint="eastAsia"/>
                      <w:color w:val="auto"/>
                      <w:highlight w:val="none"/>
                    </w:rPr>
                  </w:pPr>
                </w:p>
              </w:tc>
              <w:tc>
                <w:tcPr>
                  <w:tcW w:w="916" w:type="pct"/>
                  <w:shd w:val="clear" w:color="auto" w:fill="auto"/>
                  <w:vAlign w:val="center"/>
                </w:tcPr>
                <w:p w14:paraId="7A1BC078">
                  <w:pPr>
                    <w:pStyle w:val="105"/>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highlight w:val="none"/>
                      <w:lang w:val="en-US" w:eastAsia="zh-CN"/>
                    </w:rPr>
                    <w:t>氨</w:t>
                  </w:r>
                </w:p>
              </w:tc>
              <w:tc>
                <w:tcPr>
                  <w:tcW w:w="307" w:type="pct"/>
                  <w:vMerge w:val="continue"/>
                  <w:shd w:val="clear" w:color="auto" w:fill="auto"/>
                  <w:vAlign w:val="center"/>
                </w:tcPr>
                <w:p w14:paraId="63BD326A">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p>
              </w:tc>
              <w:tc>
                <w:tcPr>
                  <w:tcW w:w="1038" w:type="pct"/>
                  <w:gridSpan w:val="2"/>
                  <w:shd w:val="clear" w:color="auto" w:fill="auto"/>
                  <w:vAlign w:val="center"/>
                </w:tcPr>
                <w:p w14:paraId="4DA0C3A5">
                  <w:pPr>
                    <w:pStyle w:val="10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1.5</w:t>
                  </w:r>
                </w:p>
              </w:tc>
              <w:tc>
                <w:tcPr>
                  <w:tcW w:w="1639" w:type="pct"/>
                  <w:vMerge w:val="restart"/>
                  <w:shd w:val="clear" w:color="auto" w:fill="auto"/>
                  <w:vAlign w:val="center"/>
                </w:tcPr>
                <w:p w14:paraId="5198817A">
                  <w:pPr>
                    <w:pStyle w:val="105"/>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rPr>
                    <w:t>《恶臭污染物排放标准》（GB14554-93）中表1无组织排放标准</w:t>
                  </w:r>
                </w:p>
              </w:tc>
            </w:tr>
            <w:tr w14:paraId="1AB64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2F1E52B7">
                  <w:pPr>
                    <w:pStyle w:val="105"/>
                    <w:rPr>
                      <w:rFonts w:hint="eastAsia"/>
                      <w:color w:val="auto"/>
                      <w:highlight w:val="none"/>
                    </w:rPr>
                  </w:pPr>
                </w:p>
              </w:tc>
              <w:tc>
                <w:tcPr>
                  <w:tcW w:w="636" w:type="pct"/>
                  <w:vMerge w:val="continue"/>
                  <w:shd w:val="clear" w:color="auto" w:fill="auto"/>
                  <w:vAlign w:val="center"/>
                </w:tcPr>
                <w:p w14:paraId="77AF9FDB">
                  <w:pPr>
                    <w:pStyle w:val="105"/>
                    <w:rPr>
                      <w:rFonts w:hint="eastAsia"/>
                      <w:color w:val="auto"/>
                      <w:highlight w:val="none"/>
                    </w:rPr>
                  </w:pPr>
                </w:p>
              </w:tc>
              <w:tc>
                <w:tcPr>
                  <w:tcW w:w="916" w:type="pct"/>
                  <w:shd w:val="clear" w:color="auto" w:fill="auto"/>
                  <w:vAlign w:val="center"/>
                </w:tcPr>
                <w:p w14:paraId="284ECE77">
                  <w:pPr>
                    <w:pStyle w:val="105"/>
                    <w:rPr>
                      <w:rFonts w:hint="eastAsia" w:ascii="Times New Roman" w:hAnsi="Times New Roman" w:eastAsia="宋体" w:cs="Times New Roman"/>
                      <w:color w:val="auto"/>
                      <w:kern w:val="2"/>
                      <w:sz w:val="21"/>
                      <w:szCs w:val="21"/>
                      <w:highlight w:val="none"/>
                      <w:lang w:val="zh-CN" w:eastAsia="zh-CN" w:bidi="en-AU"/>
                    </w:rPr>
                  </w:pPr>
                  <w:r>
                    <w:rPr>
                      <w:rFonts w:hint="eastAsia" w:ascii="Times New Roman" w:hAnsi="Times New Roman" w:eastAsia="宋体" w:cs="Times New Roman"/>
                      <w:color w:val="auto"/>
                      <w:sz w:val="21"/>
                      <w:szCs w:val="21"/>
                      <w:highlight w:val="none"/>
                      <w:lang w:val="en-US"/>
                    </w:rPr>
                    <w:t>臭气浓度</w:t>
                  </w:r>
                </w:p>
              </w:tc>
              <w:tc>
                <w:tcPr>
                  <w:tcW w:w="307" w:type="pct"/>
                  <w:vMerge w:val="continue"/>
                  <w:shd w:val="clear" w:color="auto" w:fill="auto"/>
                  <w:vAlign w:val="center"/>
                </w:tcPr>
                <w:p w14:paraId="771D054E">
                  <w:pPr>
                    <w:pStyle w:val="105"/>
                    <w:rPr>
                      <w:rFonts w:hint="eastAsia"/>
                      <w:color w:val="auto"/>
                      <w:highlight w:val="none"/>
                    </w:rPr>
                  </w:pPr>
                </w:p>
              </w:tc>
              <w:tc>
                <w:tcPr>
                  <w:tcW w:w="1038" w:type="pct"/>
                  <w:gridSpan w:val="2"/>
                  <w:shd w:val="clear" w:color="auto" w:fill="auto"/>
                  <w:vAlign w:val="center"/>
                </w:tcPr>
                <w:p w14:paraId="3C9CB6AA">
                  <w:pPr>
                    <w:pStyle w:val="105"/>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rPr>
                    <w:t>20（无量纲）</w:t>
                  </w:r>
                </w:p>
              </w:tc>
              <w:tc>
                <w:tcPr>
                  <w:tcW w:w="1639" w:type="pct"/>
                  <w:vMerge w:val="continue"/>
                  <w:shd w:val="clear" w:color="auto" w:fill="auto"/>
                  <w:vAlign w:val="center"/>
                </w:tcPr>
                <w:p w14:paraId="48FD50F4">
                  <w:pPr>
                    <w:pStyle w:val="105"/>
                    <w:rPr>
                      <w:rFonts w:hint="eastAsia" w:ascii="Times New Roman" w:hAnsi="Times New Roman" w:eastAsia="宋体" w:cs="Times New Roman"/>
                      <w:color w:val="auto"/>
                      <w:kern w:val="2"/>
                      <w:sz w:val="21"/>
                      <w:szCs w:val="21"/>
                      <w:highlight w:val="none"/>
                      <w:lang w:val="en-US" w:eastAsia="zh-CN" w:bidi="ar-SA"/>
                    </w:rPr>
                  </w:pPr>
                </w:p>
              </w:tc>
            </w:tr>
            <w:tr w14:paraId="69875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restart"/>
                  <w:shd w:val="clear" w:color="auto" w:fill="auto"/>
                  <w:vAlign w:val="center"/>
                </w:tcPr>
                <w:p w14:paraId="24F6BBA6">
                  <w:pPr>
                    <w:pStyle w:val="105"/>
                    <w:rPr>
                      <w:color w:val="auto"/>
                      <w:highlight w:val="none"/>
                    </w:rPr>
                  </w:pPr>
                  <w:r>
                    <w:rPr>
                      <w:rFonts w:hint="eastAsia"/>
                      <w:color w:val="auto"/>
                      <w:highlight w:val="none"/>
                    </w:rPr>
                    <w:t>厂区内无组织废气</w:t>
                  </w:r>
                </w:p>
              </w:tc>
              <w:tc>
                <w:tcPr>
                  <w:tcW w:w="636" w:type="pct"/>
                  <w:vMerge w:val="restart"/>
                  <w:shd w:val="clear" w:color="auto" w:fill="auto"/>
                  <w:vAlign w:val="center"/>
                </w:tcPr>
                <w:p w14:paraId="176EFFF6">
                  <w:pPr>
                    <w:pStyle w:val="105"/>
                    <w:rPr>
                      <w:color w:val="auto"/>
                      <w:highlight w:val="none"/>
                    </w:rPr>
                  </w:pPr>
                  <w:r>
                    <w:rPr>
                      <w:rFonts w:hint="eastAsia"/>
                      <w:color w:val="auto"/>
                      <w:highlight w:val="none"/>
                    </w:rPr>
                    <w:t>/</w:t>
                  </w:r>
                </w:p>
              </w:tc>
              <w:tc>
                <w:tcPr>
                  <w:tcW w:w="916" w:type="pct"/>
                  <w:vMerge w:val="restart"/>
                  <w:shd w:val="clear" w:color="auto" w:fill="auto"/>
                  <w:vAlign w:val="center"/>
                </w:tcPr>
                <w:p w14:paraId="4E855327">
                  <w:pPr>
                    <w:pStyle w:val="105"/>
                    <w:rPr>
                      <w:color w:val="auto"/>
                      <w:highlight w:val="none"/>
                    </w:rPr>
                  </w:pPr>
                  <w:r>
                    <w:rPr>
                      <w:rFonts w:hint="eastAsia"/>
                      <w:color w:val="auto"/>
                      <w:highlight w:val="none"/>
                    </w:rPr>
                    <w:t>非甲烷总烃</w:t>
                  </w:r>
                </w:p>
              </w:tc>
              <w:tc>
                <w:tcPr>
                  <w:tcW w:w="307" w:type="pct"/>
                  <w:vMerge w:val="restart"/>
                  <w:shd w:val="clear" w:color="auto" w:fill="auto"/>
                  <w:vAlign w:val="center"/>
                </w:tcPr>
                <w:p w14:paraId="163B59AD">
                  <w:pPr>
                    <w:pStyle w:val="105"/>
                    <w:rPr>
                      <w:color w:val="auto"/>
                      <w:highlight w:val="none"/>
                    </w:rPr>
                  </w:pPr>
                  <w:r>
                    <w:rPr>
                      <w:rFonts w:hint="eastAsia"/>
                      <w:color w:val="auto"/>
                      <w:highlight w:val="none"/>
                    </w:rPr>
                    <w:t>/</w:t>
                  </w:r>
                </w:p>
              </w:tc>
              <w:tc>
                <w:tcPr>
                  <w:tcW w:w="578" w:type="pct"/>
                  <w:shd w:val="clear" w:color="auto" w:fill="auto"/>
                  <w:vAlign w:val="center"/>
                </w:tcPr>
                <w:p w14:paraId="1D6A91AB">
                  <w:pPr>
                    <w:pStyle w:val="105"/>
                    <w:rPr>
                      <w:color w:val="auto"/>
                      <w:highlight w:val="none"/>
                    </w:rPr>
                  </w:pPr>
                  <w:r>
                    <w:rPr>
                      <w:color w:val="auto"/>
                      <w:highlight w:val="none"/>
                    </w:rPr>
                    <w:t>6</w:t>
                  </w:r>
                  <w:r>
                    <w:rPr>
                      <w:rFonts w:hint="eastAsia"/>
                      <w:color w:val="auto"/>
                      <w:highlight w:val="none"/>
                    </w:rPr>
                    <w:t>（</w:t>
                  </w:r>
                  <w:r>
                    <w:rPr>
                      <w:rFonts w:hint="eastAsia"/>
                      <w:color w:val="auto"/>
                      <w:highlight w:val="none"/>
                      <w:lang w:val="en-US"/>
                    </w:rPr>
                    <w:t>监控点处1h平均浓度值</w:t>
                  </w:r>
                  <w:r>
                    <w:rPr>
                      <w:rFonts w:hint="eastAsia"/>
                      <w:color w:val="auto"/>
                      <w:highlight w:val="none"/>
                    </w:rPr>
                    <w:t>）</w:t>
                  </w:r>
                </w:p>
              </w:tc>
              <w:tc>
                <w:tcPr>
                  <w:tcW w:w="460" w:type="pct"/>
                  <w:vMerge w:val="restart"/>
                  <w:shd w:val="clear" w:color="auto" w:fill="auto"/>
                  <w:vAlign w:val="center"/>
                </w:tcPr>
                <w:p w14:paraId="45FB12E3">
                  <w:pPr>
                    <w:pStyle w:val="105"/>
                    <w:rPr>
                      <w:color w:val="auto"/>
                      <w:highlight w:val="none"/>
                    </w:rPr>
                  </w:pPr>
                  <w:r>
                    <w:rPr>
                      <w:rFonts w:hint="eastAsia"/>
                      <w:color w:val="auto"/>
                      <w:highlight w:val="none"/>
                    </w:rPr>
                    <w:t>/</w:t>
                  </w:r>
                </w:p>
              </w:tc>
              <w:tc>
                <w:tcPr>
                  <w:tcW w:w="1639" w:type="pct"/>
                  <w:vMerge w:val="restart"/>
                  <w:shd w:val="clear" w:color="auto" w:fill="auto"/>
                  <w:vAlign w:val="center"/>
                </w:tcPr>
                <w:p w14:paraId="086064BC">
                  <w:pPr>
                    <w:pStyle w:val="105"/>
                    <w:rPr>
                      <w:rFonts w:ascii="Times New Roman" w:hAnsi="Times New Roman" w:eastAsia="宋体" w:cs="Times New Roman"/>
                      <w:color w:val="auto"/>
                      <w:highlight w:val="none"/>
                    </w:rPr>
                  </w:pPr>
                  <w:r>
                    <w:rPr>
                      <w:rFonts w:ascii="Times New Roman" w:hAnsi="Times New Roman" w:eastAsia="宋体" w:cs="Times New Roman"/>
                      <w:color w:val="auto"/>
                      <w:highlight w:val="none"/>
                    </w:rPr>
                    <w:t>广东省地方标准《固定污染源挥发性有机物综合排放标准》（DB44/2367—2022）中表3厂区内VOCs无组织排放限值</w:t>
                  </w:r>
                </w:p>
              </w:tc>
            </w:tr>
            <w:tr w14:paraId="2C2A4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0" w:type="pct"/>
                  <w:vMerge w:val="continue"/>
                  <w:shd w:val="clear" w:color="auto" w:fill="auto"/>
                  <w:vAlign w:val="center"/>
                </w:tcPr>
                <w:p w14:paraId="4A7960D9">
                  <w:pPr>
                    <w:pStyle w:val="105"/>
                    <w:rPr>
                      <w:color w:val="auto"/>
                      <w:highlight w:val="none"/>
                    </w:rPr>
                  </w:pPr>
                </w:p>
              </w:tc>
              <w:tc>
                <w:tcPr>
                  <w:tcW w:w="636" w:type="pct"/>
                  <w:vMerge w:val="continue"/>
                  <w:shd w:val="clear" w:color="auto" w:fill="auto"/>
                  <w:vAlign w:val="center"/>
                </w:tcPr>
                <w:p w14:paraId="318B88E5">
                  <w:pPr>
                    <w:pStyle w:val="105"/>
                    <w:rPr>
                      <w:color w:val="auto"/>
                      <w:highlight w:val="none"/>
                    </w:rPr>
                  </w:pPr>
                </w:p>
              </w:tc>
              <w:tc>
                <w:tcPr>
                  <w:tcW w:w="916" w:type="pct"/>
                  <w:vMerge w:val="continue"/>
                  <w:shd w:val="clear" w:color="auto" w:fill="auto"/>
                  <w:vAlign w:val="center"/>
                </w:tcPr>
                <w:p w14:paraId="77266ED6">
                  <w:pPr>
                    <w:pStyle w:val="105"/>
                    <w:rPr>
                      <w:color w:val="auto"/>
                      <w:highlight w:val="none"/>
                    </w:rPr>
                  </w:pPr>
                </w:p>
              </w:tc>
              <w:tc>
                <w:tcPr>
                  <w:tcW w:w="307" w:type="pct"/>
                  <w:vMerge w:val="continue"/>
                  <w:shd w:val="clear" w:color="auto" w:fill="auto"/>
                  <w:vAlign w:val="center"/>
                </w:tcPr>
                <w:p w14:paraId="4E3734B3">
                  <w:pPr>
                    <w:pStyle w:val="105"/>
                    <w:rPr>
                      <w:color w:val="auto"/>
                      <w:highlight w:val="none"/>
                    </w:rPr>
                  </w:pPr>
                </w:p>
              </w:tc>
              <w:tc>
                <w:tcPr>
                  <w:tcW w:w="578" w:type="pct"/>
                  <w:shd w:val="clear" w:color="auto" w:fill="auto"/>
                  <w:vAlign w:val="center"/>
                </w:tcPr>
                <w:p w14:paraId="534F7F00">
                  <w:pPr>
                    <w:pStyle w:val="105"/>
                    <w:rPr>
                      <w:rFonts w:hint="eastAsia"/>
                      <w:color w:val="auto"/>
                      <w:highlight w:val="none"/>
                    </w:rPr>
                  </w:pPr>
                  <w:r>
                    <w:rPr>
                      <w:color w:val="auto"/>
                      <w:highlight w:val="none"/>
                      <w:lang w:val="en-US"/>
                    </w:rPr>
                    <w:t>20</w:t>
                  </w:r>
                  <w:r>
                    <w:rPr>
                      <w:rFonts w:hint="eastAsia"/>
                      <w:color w:val="auto"/>
                      <w:highlight w:val="none"/>
                      <w:lang w:val="en-US"/>
                    </w:rPr>
                    <w:t>（监控点处任意一点的浓度值）</w:t>
                  </w:r>
                </w:p>
              </w:tc>
              <w:tc>
                <w:tcPr>
                  <w:tcW w:w="460" w:type="pct"/>
                  <w:vMerge w:val="continue"/>
                  <w:shd w:val="clear" w:color="auto" w:fill="auto"/>
                  <w:vAlign w:val="center"/>
                </w:tcPr>
                <w:p w14:paraId="1FB969F5">
                  <w:pPr>
                    <w:pStyle w:val="105"/>
                    <w:rPr>
                      <w:rFonts w:hint="eastAsia"/>
                      <w:color w:val="auto"/>
                      <w:highlight w:val="none"/>
                    </w:rPr>
                  </w:pPr>
                </w:p>
              </w:tc>
              <w:tc>
                <w:tcPr>
                  <w:tcW w:w="1639" w:type="pct"/>
                  <w:vMerge w:val="continue"/>
                  <w:shd w:val="clear" w:color="auto" w:fill="auto"/>
                  <w:vAlign w:val="center"/>
                </w:tcPr>
                <w:p w14:paraId="5E2A49EF">
                  <w:pPr>
                    <w:pStyle w:val="105"/>
                    <w:rPr>
                      <w:rFonts w:hint="eastAsia"/>
                      <w:color w:val="auto"/>
                      <w:highlight w:val="none"/>
                    </w:rPr>
                  </w:pPr>
                </w:p>
              </w:tc>
            </w:tr>
          </w:tbl>
          <w:p w14:paraId="743A46B1">
            <w:pPr>
              <w:spacing w:before="120" w:beforeLines="50" w:line="360" w:lineRule="auto"/>
              <w:ind w:firstLine="482" w:firstLineChars="200"/>
              <w:rPr>
                <w:b/>
                <w:bCs/>
                <w:color w:val="auto"/>
                <w:sz w:val="24"/>
                <w:highlight w:val="none"/>
              </w:rPr>
            </w:pPr>
            <w:r>
              <w:rPr>
                <w:b/>
                <w:bCs/>
                <w:color w:val="auto"/>
                <w:sz w:val="24"/>
                <w:highlight w:val="none"/>
              </w:rPr>
              <w:t>3、噪声排放标准</w:t>
            </w:r>
          </w:p>
          <w:p w14:paraId="6C4E78D6">
            <w:pPr>
              <w:pStyle w:val="95"/>
              <w:spacing w:before="120"/>
              <w:rPr>
                <w:b/>
                <w:bCs/>
                <w:color w:val="auto"/>
                <w:sz w:val="21"/>
                <w:szCs w:val="21"/>
                <w:highlight w:val="none"/>
              </w:rPr>
            </w:pPr>
            <w:r>
              <w:rPr>
                <w:b/>
                <w:bCs/>
                <w:color w:val="auto"/>
                <w:sz w:val="21"/>
                <w:szCs w:val="21"/>
                <w:highlight w:val="none"/>
              </w:rPr>
              <w:t>《工厂企业厂界环境噪声排放标准》（GB12348-2008）</w:t>
            </w:r>
            <w:r>
              <w:rPr>
                <w:rFonts w:hint="eastAsia"/>
                <w:b/>
                <w:bCs/>
                <w:color w:val="auto"/>
                <w:sz w:val="21"/>
                <w:szCs w:val="21"/>
                <w:highlight w:val="none"/>
              </w:rPr>
              <w:t>3类</w:t>
            </w:r>
            <w:r>
              <w:rPr>
                <w:b/>
                <w:bCs/>
                <w:color w:val="auto"/>
                <w:sz w:val="21"/>
                <w:szCs w:val="21"/>
                <w:highlight w:val="none"/>
              </w:rPr>
              <w:t>标准</w:t>
            </w:r>
          </w:p>
          <w:tbl>
            <w:tblPr>
              <w:tblStyle w:val="3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891"/>
              <w:gridCol w:w="1891"/>
              <w:gridCol w:w="4490"/>
            </w:tblGrid>
            <w:tr w14:paraId="673550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97" w:hRule="atLeast"/>
                <w:jc w:val="center"/>
              </w:trPr>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15B5ABCE">
                  <w:pPr>
                    <w:pStyle w:val="95"/>
                    <w:numPr>
                      <w:ilvl w:val="0"/>
                      <w:numId w:val="0"/>
                    </w:numPr>
                    <w:spacing w:before="120"/>
                    <w:ind w:left="0" w:leftChars="0" w:firstLine="0" w:firstLineChars="0"/>
                    <w:rPr>
                      <w:rFonts w:ascii="Times New Roman" w:hAnsi="Times New Roman" w:eastAsia="宋体" w:cs="Times New Roman"/>
                      <w:b/>
                      <w:bCs/>
                      <w:color w:val="auto"/>
                      <w:kern w:val="0"/>
                      <w:sz w:val="21"/>
                      <w:szCs w:val="21"/>
                      <w:lang w:val="en-US" w:eastAsia="zh-CN" w:bidi="ar-SA"/>
                    </w:rPr>
                  </w:pPr>
                  <w:r>
                    <w:rPr>
                      <w:b/>
                      <w:bCs/>
                      <w:color w:val="auto"/>
                      <w:sz w:val="21"/>
                      <w:szCs w:val="21"/>
                    </w:rPr>
                    <w:t>厂界声环境功能区类别</w:t>
                  </w:r>
                </w:p>
              </w:tc>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6BD9EA32">
                  <w:pPr>
                    <w:pStyle w:val="95"/>
                    <w:numPr>
                      <w:ilvl w:val="0"/>
                      <w:numId w:val="0"/>
                    </w:numPr>
                    <w:spacing w:before="120"/>
                    <w:ind w:left="0" w:leftChars="0" w:firstLine="0" w:firstLineChars="0"/>
                    <w:rPr>
                      <w:rFonts w:ascii="Times New Roman" w:hAnsi="Times New Roman" w:eastAsia="宋体" w:cs="Times New Roman"/>
                      <w:b/>
                      <w:bCs/>
                      <w:color w:val="auto"/>
                      <w:kern w:val="0"/>
                      <w:sz w:val="21"/>
                      <w:szCs w:val="21"/>
                      <w:lang w:val="en-US" w:eastAsia="zh-CN" w:bidi="ar-SA"/>
                    </w:rPr>
                  </w:pPr>
                  <w:r>
                    <w:rPr>
                      <w:b/>
                      <w:bCs/>
                      <w:color w:val="auto"/>
                      <w:sz w:val="21"/>
                      <w:szCs w:val="21"/>
                    </w:rPr>
                    <w:t>昼间/单位</w:t>
                  </w:r>
                  <w:r>
                    <w:rPr>
                      <w:rFonts w:hint="eastAsia"/>
                      <w:b/>
                      <w:bCs/>
                      <w:color w:val="auto"/>
                      <w:sz w:val="21"/>
                      <w:szCs w:val="21"/>
                    </w:rPr>
                    <w:t>：</w:t>
                  </w:r>
                  <w:r>
                    <w:rPr>
                      <w:b/>
                      <w:bCs/>
                      <w:color w:val="auto"/>
                      <w:sz w:val="21"/>
                      <w:szCs w:val="21"/>
                    </w:rPr>
                    <w:t>dB（A）</w:t>
                  </w:r>
                </w:p>
              </w:tc>
              <w:tc>
                <w:tcPr>
                  <w:tcW w:w="2713" w:type="pct"/>
                  <w:tcBorders>
                    <w:top w:val="single" w:color="000000" w:sz="4" w:space="0"/>
                    <w:left w:val="single" w:color="000000" w:sz="4" w:space="0"/>
                    <w:bottom w:val="single" w:color="000000" w:sz="4" w:space="0"/>
                    <w:right w:val="single" w:color="000000" w:sz="4" w:space="0"/>
                  </w:tcBorders>
                  <w:shd w:val="clear" w:color="auto" w:fill="auto"/>
                  <w:vAlign w:val="top"/>
                </w:tcPr>
                <w:p w14:paraId="52321945">
                  <w:pPr>
                    <w:pStyle w:val="95"/>
                    <w:numPr>
                      <w:ilvl w:val="0"/>
                      <w:numId w:val="0"/>
                    </w:numPr>
                    <w:spacing w:before="120"/>
                    <w:ind w:left="0" w:leftChars="0" w:firstLine="0" w:firstLineChars="0"/>
                    <w:rPr>
                      <w:rFonts w:ascii="Times New Roman" w:hAnsi="Times New Roman" w:eastAsia="宋体" w:cs="Times New Roman"/>
                      <w:b/>
                      <w:bCs/>
                      <w:color w:val="auto"/>
                      <w:kern w:val="0"/>
                      <w:sz w:val="21"/>
                      <w:szCs w:val="21"/>
                      <w:lang w:val="en-US" w:eastAsia="zh-CN" w:bidi="ar-SA"/>
                    </w:rPr>
                  </w:pPr>
                  <w:r>
                    <w:rPr>
                      <w:b/>
                      <w:bCs/>
                      <w:color w:val="auto"/>
                      <w:sz w:val="21"/>
                      <w:szCs w:val="21"/>
                    </w:rPr>
                    <w:t>夜间/单位:dB（A）</w:t>
                  </w:r>
                </w:p>
              </w:tc>
            </w:tr>
            <w:tr w14:paraId="5213C4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6048F5C4">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0类</w:t>
                  </w:r>
                </w:p>
              </w:tc>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1321A9A2">
                  <w:pPr>
                    <w:pStyle w:val="95"/>
                    <w:numPr>
                      <w:ilvl w:val="0"/>
                      <w:numId w:val="0"/>
                    </w:numPr>
                    <w:spacing w:before="120"/>
                    <w:ind w:left="0" w:leftChars="0" w:firstLine="0" w:firstLineChars="0"/>
                    <w:rPr>
                      <w:rFonts w:ascii="Times New Roman" w:hAnsi="Times New Roman" w:eastAsia="宋体" w:cs="Times New Roman"/>
                      <w:b w:val="0"/>
                      <w:color w:val="auto"/>
                      <w:kern w:val="0"/>
                      <w:sz w:val="21"/>
                      <w:szCs w:val="21"/>
                      <w:lang w:val="en-US" w:eastAsia="zh-CN" w:bidi="ar-SA"/>
                    </w:rPr>
                  </w:pPr>
                  <w:r>
                    <w:rPr>
                      <w:color w:val="auto"/>
                      <w:sz w:val="21"/>
                      <w:szCs w:val="21"/>
                    </w:rPr>
                    <w:t>50</w:t>
                  </w:r>
                </w:p>
              </w:tc>
              <w:tc>
                <w:tcPr>
                  <w:tcW w:w="2713" w:type="pct"/>
                  <w:tcBorders>
                    <w:top w:val="single" w:color="000000" w:sz="4" w:space="0"/>
                    <w:left w:val="single" w:color="000000" w:sz="4" w:space="0"/>
                    <w:bottom w:val="single" w:color="000000" w:sz="4" w:space="0"/>
                    <w:right w:val="single" w:color="000000" w:sz="4" w:space="0"/>
                  </w:tcBorders>
                  <w:shd w:val="clear" w:color="auto" w:fill="auto"/>
                  <w:vAlign w:val="top"/>
                </w:tcPr>
                <w:p w14:paraId="141BB79C">
                  <w:pPr>
                    <w:pStyle w:val="95"/>
                    <w:numPr>
                      <w:ilvl w:val="0"/>
                      <w:numId w:val="0"/>
                    </w:numPr>
                    <w:spacing w:before="120"/>
                    <w:ind w:left="0" w:leftChars="0" w:firstLine="0" w:firstLineChars="0"/>
                    <w:rPr>
                      <w:rFonts w:ascii="Times New Roman" w:hAnsi="Times New Roman" w:eastAsia="宋体" w:cs="Times New Roman"/>
                      <w:b w:val="0"/>
                      <w:color w:val="auto"/>
                      <w:kern w:val="0"/>
                      <w:sz w:val="21"/>
                      <w:szCs w:val="21"/>
                      <w:lang w:val="en-US" w:eastAsia="zh-CN" w:bidi="ar-SA"/>
                    </w:rPr>
                  </w:pPr>
                  <w:r>
                    <w:rPr>
                      <w:color w:val="auto"/>
                      <w:sz w:val="21"/>
                      <w:szCs w:val="21"/>
                    </w:rPr>
                    <w:t>40</w:t>
                  </w:r>
                </w:p>
              </w:tc>
            </w:tr>
            <w:tr w14:paraId="3C01AC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3BE751C3">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1类</w:t>
                  </w:r>
                </w:p>
              </w:tc>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4A63C97F">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55</w:t>
                  </w:r>
                </w:p>
              </w:tc>
              <w:tc>
                <w:tcPr>
                  <w:tcW w:w="2713" w:type="pct"/>
                  <w:tcBorders>
                    <w:top w:val="single" w:color="000000" w:sz="4" w:space="0"/>
                    <w:left w:val="single" w:color="000000" w:sz="4" w:space="0"/>
                    <w:bottom w:val="single" w:color="000000" w:sz="4" w:space="0"/>
                    <w:right w:val="single" w:color="000000" w:sz="4" w:space="0"/>
                  </w:tcBorders>
                  <w:shd w:val="clear" w:color="auto" w:fill="auto"/>
                  <w:vAlign w:val="top"/>
                </w:tcPr>
                <w:p w14:paraId="5AD2B739">
                  <w:pPr>
                    <w:pStyle w:val="95"/>
                    <w:numPr>
                      <w:ilvl w:val="0"/>
                      <w:numId w:val="0"/>
                    </w:numPr>
                    <w:spacing w:before="120"/>
                    <w:ind w:left="0" w:leftChars="0" w:firstLine="0" w:firstLineChars="0"/>
                    <w:rPr>
                      <w:rFonts w:ascii="Times New Roman" w:hAnsi="Times New Roman" w:eastAsia="宋体" w:cs="Times New Roman"/>
                      <w:b w:val="0"/>
                      <w:color w:val="auto"/>
                      <w:kern w:val="0"/>
                      <w:sz w:val="21"/>
                      <w:szCs w:val="21"/>
                      <w:lang w:val="en-US" w:eastAsia="zh-CN" w:bidi="ar-SA"/>
                    </w:rPr>
                  </w:pPr>
                  <w:r>
                    <w:rPr>
                      <w:color w:val="auto"/>
                      <w:sz w:val="21"/>
                      <w:szCs w:val="21"/>
                    </w:rPr>
                    <w:t>45</w:t>
                  </w:r>
                </w:p>
              </w:tc>
            </w:tr>
            <w:tr w14:paraId="13C23B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33C69F48">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2类</w:t>
                  </w:r>
                </w:p>
              </w:tc>
              <w:tc>
                <w:tcPr>
                  <w:tcW w:w="1143" w:type="pct"/>
                  <w:tcBorders>
                    <w:top w:val="single" w:color="000000" w:sz="4" w:space="0"/>
                    <w:left w:val="single" w:color="000000" w:sz="4" w:space="0"/>
                    <w:bottom w:val="single" w:color="000000" w:sz="4" w:space="0"/>
                    <w:right w:val="single" w:color="000000" w:sz="4" w:space="0"/>
                  </w:tcBorders>
                  <w:shd w:val="clear" w:color="auto" w:fill="auto"/>
                  <w:vAlign w:val="top"/>
                </w:tcPr>
                <w:p w14:paraId="30BF91DE">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60</w:t>
                  </w:r>
                </w:p>
              </w:tc>
              <w:tc>
                <w:tcPr>
                  <w:tcW w:w="2713" w:type="pct"/>
                  <w:tcBorders>
                    <w:top w:val="single" w:color="000000" w:sz="4" w:space="0"/>
                    <w:left w:val="single" w:color="000000" w:sz="4" w:space="0"/>
                    <w:bottom w:val="single" w:color="000000" w:sz="4" w:space="0"/>
                    <w:right w:val="single" w:color="000000" w:sz="4" w:space="0"/>
                  </w:tcBorders>
                  <w:shd w:val="clear" w:color="auto" w:fill="auto"/>
                  <w:vAlign w:val="top"/>
                </w:tcPr>
                <w:p w14:paraId="2DE8643E">
                  <w:pPr>
                    <w:pStyle w:val="95"/>
                    <w:numPr>
                      <w:ilvl w:val="0"/>
                      <w:numId w:val="0"/>
                    </w:numPr>
                    <w:spacing w:before="120"/>
                    <w:ind w:left="0" w:leftChars="0" w:firstLine="0" w:firstLineChars="0"/>
                    <w:rPr>
                      <w:rFonts w:ascii="Times New Roman" w:hAnsi="Times New Roman" w:eastAsia="宋体" w:cs="Times New Roman"/>
                      <w:b w:val="0"/>
                      <w:color w:val="auto"/>
                      <w:kern w:val="0"/>
                      <w:sz w:val="21"/>
                      <w:szCs w:val="21"/>
                      <w:lang w:val="en-US" w:eastAsia="zh-CN" w:bidi="ar-SA"/>
                    </w:rPr>
                  </w:pPr>
                  <w:r>
                    <w:rPr>
                      <w:color w:val="auto"/>
                      <w:sz w:val="21"/>
                      <w:szCs w:val="21"/>
                    </w:rPr>
                    <w:t>50</w:t>
                  </w:r>
                </w:p>
              </w:tc>
            </w:tr>
            <w:tr w14:paraId="085AA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97" w:hRule="atLeast"/>
                <w:jc w:val="center"/>
              </w:trPr>
              <w:tc>
                <w:tcPr>
                  <w:tcW w:w="1143" w:type="pct"/>
                  <w:tcBorders>
                    <w:top w:val="single" w:color="000000" w:sz="4" w:space="0"/>
                    <w:left w:val="single" w:color="000000" w:sz="4" w:space="0"/>
                    <w:bottom w:val="single" w:color="000000" w:sz="4" w:space="0"/>
                    <w:right w:val="single" w:color="000000" w:sz="4" w:space="0"/>
                  </w:tcBorders>
                  <w:shd w:val="clear" w:color="auto" w:fill="BEBEBE"/>
                  <w:vAlign w:val="top"/>
                </w:tcPr>
                <w:p w14:paraId="1B2C08EC">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3类</w:t>
                  </w:r>
                </w:p>
              </w:tc>
              <w:tc>
                <w:tcPr>
                  <w:tcW w:w="1143" w:type="pct"/>
                  <w:tcBorders>
                    <w:top w:val="single" w:color="000000" w:sz="4" w:space="0"/>
                    <w:left w:val="single" w:color="000000" w:sz="4" w:space="0"/>
                    <w:bottom w:val="single" w:color="000000" w:sz="4" w:space="0"/>
                    <w:right w:val="single" w:color="000000" w:sz="4" w:space="0"/>
                  </w:tcBorders>
                  <w:shd w:val="clear" w:color="auto" w:fill="BEBEBE"/>
                  <w:vAlign w:val="top"/>
                </w:tcPr>
                <w:p w14:paraId="0E8F9173">
                  <w:pPr>
                    <w:pStyle w:val="95"/>
                    <w:numPr>
                      <w:ilvl w:val="0"/>
                      <w:numId w:val="0"/>
                    </w:numPr>
                    <w:spacing w:before="120"/>
                    <w:ind w:left="0" w:leftChars="0" w:firstLine="0" w:firstLineChars="0"/>
                    <w:rPr>
                      <w:rFonts w:hint="eastAsia" w:ascii="Times New Roman" w:hAnsi="Times New Roman" w:eastAsia="宋体" w:cs="Times New Roman"/>
                      <w:b w:val="0"/>
                      <w:color w:val="auto"/>
                      <w:kern w:val="0"/>
                      <w:sz w:val="21"/>
                      <w:szCs w:val="21"/>
                      <w:lang w:val="en-US" w:eastAsia="zh-CN" w:bidi="ar-SA"/>
                    </w:rPr>
                  </w:pPr>
                  <w:r>
                    <w:rPr>
                      <w:color w:val="auto"/>
                      <w:sz w:val="21"/>
                      <w:szCs w:val="21"/>
                    </w:rPr>
                    <w:t>65</w:t>
                  </w:r>
                </w:p>
              </w:tc>
              <w:tc>
                <w:tcPr>
                  <w:tcW w:w="2713" w:type="pct"/>
                  <w:tcBorders>
                    <w:top w:val="single" w:color="000000" w:sz="4" w:space="0"/>
                    <w:left w:val="single" w:color="000000" w:sz="4" w:space="0"/>
                    <w:bottom w:val="single" w:color="000000" w:sz="4" w:space="0"/>
                    <w:right w:val="single" w:color="000000" w:sz="4" w:space="0"/>
                  </w:tcBorders>
                  <w:shd w:val="clear" w:color="auto" w:fill="BEBEBE"/>
                  <w:vAlign w:val="top"/>
                </w:tcPr>
                <w:p w14:paraId="010D1B7D">
                  <w:pPr>
                    <w:pStyle w:val="95"/>
                    <w:numPr>
                      <w:ilvl w:val="0"/>
                      <w:numId w:val="0"/>
                    </w:numPr>
                    <w:spacing w:before="120"/>
                    <w:ind w:left="0" w:leftChars="0" w:firstLine="0" w:firstLineChars="0"/>
                    <w:rPr>
                      <w:rFonts w:ascii="Times New Roman" w:hAnsi="Times New Roman" w:eastAsia="宋体" w:cs="Times New Roman"/>
                      <w:b w:val="0"/>
                      <w:color w:val="auto"/>
                      <w:kern w:val="0"/>
                      <w:sz w:val="21"/>
                      <w:szCs w:val="21"/>
                      <w:lang w:val="en-US" w:eastAsia="zh-CN" w:bidi="ar-SA"/>
                    </w:rPr>
                  </w:pPr>
                  <w:r>
                    <w:rPr>
                      <w:color w:val="auto"/>
                      <w:sz w:val="21"/>
                      <w:szCs w:val="21"/>
                    </w:rPr>
                    <w:t>55</w:t>
                  </w:r>
                </w:p>
              </w:tc>
            </w:tr>
          </w:tbl>
          <w:p w14:paraId="3F284BE9">
            <w:pPr>
              <w:spacing w:before="120" w:beforeLines="50" w:line="360" w:lineRule="auto"/>
              <w:ind w:firstLine="482" w:firstLineChars="200"/>
              <w:rPr>
                <w:color w:val="auto"/>
                <w:sz w:val="24"/>
                <w:highlight w:val="none"/>
              </w:rPr>
            </w:pPr>
            <w:r>
              <w:rPr>
                <w:b/>
                <w:bCs/>
                <w:color w:val="auto"/>
                <w:sz w:val="24"/>
                <w:highlight w:val="none"/>
              </w:rPr>
              <w:t>4、固体废物控制标准</w:t>
            </w:r>
          </w:p>
          <w:p w14:paraId="509ADE33">
            <w:pPr>
              <w:spacing w:line="360" w:lineRule="auto"/>
              <w:ind w:firstLine="480" w:firstLineChars="200"/>
              <w:rPr>
                <w:color w:val="auto"/>
                <w:kern w:val="0"/>
                <w:szCs w:val="21"/>
                <w:highlight w:val="none"/>
              </w:rPr>
            </w:pPr>
            <w:r>
              <w:rPr>
                <w:color w:val="auto"/>
                <w:sz w:val="24"/>
                <w:highlight w:val="none"/>
              </w:rPr>
              <w:t>（</w:t>
            </w:r>
            <w:r>
              <w:rPr>
                <w:rFonts w:hint="eastAsia"/>
                <w:color w:val="auto"/>
                <w:sz w:val="24"/>
                <w:highlight w:val="none"/>
                <w:lang w:val="en-US" w:eastAsia="zh-CN"/>
              </w:rPr>
              <w:t>1</w:t>
            </w:r>
            <w:r>
              <w:rPr>
                <w:color w:val="auto"/>
                <w:sz w:val="24"/>
                <w:highlight w:val="none"/>
              </w:rPr>
              <w:t>）危险废物执行《国家危险废物名录》（2021年版）、《危险废物贮存污染控制标准》（GB18597-20</w:t>
            </w:r>
            <w:r>
              <w:rPr>
                <w:rFonts w:hint="eastAsia"/>
                <w:color w:val="auto"/>
                <w:sz w:val="24"/>
                <w:highlight w:val="none"/>
                <w:lang w:val="en-US" w:eastAsia="zh-CN"/>
              </w:rPr>
              <w:t>23</w:t>
            </w:r>
            <w:r>
              <w:rPr>
                <w:color w:val="auto"/>
                <w:sz w:val="24"/>
                <w:highlight w:val="none"/>
              </w:rPr>
              <w:t>）。</w:t>
            </w:r>
          </w:p>
        </w:tc>
      </w:tr>
      <w:tr w14:paraId="56AC2D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3" w:hRule="atLeast"/>
          <w:jc w:val="center"/>
        </w:trPr>
        <w:tc>
          <w:tcPr>
            <w:tcW w:w="529" w:type="dxa"/>
            <w:shd w:val="clear" w:color="auto" w:fill="auto"/>
            <w:vAlign w:val="center"/>
          </w:tcPr>
          <w:p w14:paraId="102DAB8C">
            <w:pPr>
              <w:adjustRightInd w:val="0"/>
              <w:snapToGrid w:val="0"/>
              <w:jc w:val="center"/>
              <w:rPr>
                <w:color w:val="auto"/>
                <w:kern w:val="0"/>
                <w:sz w:val="24"/>
                <w:highlight w:val="none"/>
              </w:rPr>
            </w:pPr>
            <w:r>
              <w:rPr>
                <w:color w:val="auto"/>
                <w:kern w:val="0"/>
                <w:sz w:val="24"/>
                <w:highlight w:val="none"/>
              </w:rPr>
              <w:t>总量控制</w:t>
            </w:r>
          </w:p>
          <w:p w14:paraId="7F60805F">
            <w:pPr>
              <w:adjustRightInd w:val="0"/>
              <w:snapToGrid w:val="0"/>
              <w:jc w:val="center"/>
              <w:rPr>
                <w:color w:val="auto"/>
                <w:kern w:val="0"/>
                <w:sz w:val="24"/>
                <w:highlight w:val="none"/>
              </w:rPr>
            </w:pPr>
            <w:r>
              <w:rPr>
                <w:color w:val="auto"/>
                <w:kern w:val="0"/>
                <w:sz w:val="24"/>
                <w:highlight w:val="none"/>
              </w:rPr>
              <w:t>指标</w:t>
            </w:r>
          </w:p>
        </w:tc>
        <w:tc>
          <w:tcPr>
            <w:tcW w:w="8501" w:type="dxa"/>
            <w:shd w:val="clear" w:color="auto" w:fill="auto"/>
            <w:vAlign w:val="center"/>
          </w:tcPr>
          <w:p w14:paraId="42781ED7">
            <w:pPr>
              <w:spacing w:line="360" w:lineRule="auto"/>
              <w:jc w:val="center"/>
              <w:rPr>
                <w:rFonts w:hint="eastAsia"/>
                <w:color w:val="auto"/>
                <w:kern w:val="0"/>
                <w:szCs w:val="21"/>
                <w:highlight w:val="none"/>
              </w:rPr>
            </w:pPr>
            <w:r>
              <w:rPr>
                <w:color w:val="auto"/>
                <w:sz w:val="24"/>
                <w:highlight w:val="none"/>
              </w:rPr>
              <w:t>项目挥发性有机物排放量约</w:t>
            </w:r>
            <w:r>
              <w:rPr>
                <w:rFonts w:hint="eastAsia"/>
                <w:color w:val="auto"/>
                <w:sz w:val="24"/>
                <w:highlight w:val="none"/>
                <w:lang w:eastAsia="zh-CN"/>
              </w:rPr>
              <w:t>0.0789</w:t>
            </w:r>
            <w:r>
              <w:rPr>
                <w:color w:val="auto"/>
                <w:sz w:val="24"/>
                <w:highlight w:val="none"/>
              </w:rPr>
              <w:t>t/a。</w:t>
            </w:r>
            <w:r>
              <w:rPr>
                <w:rFonts w:hint="eastAsia"/>
                <w:color w:val="auto"/>
                <w:sz w:val="24"/>
                <w:highlight w:val="none"/>
              </w:rPr>
              <w:t>因此</w:t>
            </w:r>
            <w:r>
              <w:rPr>
                <w:color w:val="auto"/>
                <w:sz w:val="24"/>
                <w:highlight w:val="none"/>
              </w:rPr>
              <w:t>需申请总量控制指标。</w:t>
            </w:r>
          </w:p>
        </w:tc>
      </w:tr>
    </w:tbl>
    <w:p w14:paraId="24E8274C">
      <w:pPr>
        <w:pStyle w:val="61"/>
        <w:jc w:val="center"/>
        <w:outlineLvl w:val="0"/>
        <w:rPr>
          <w:rFonts w:ascii="Times New Roman" w:hAnsi="Times New Roman" w:eastAsia="黑体"/>
          <w:snapToGrid w:val="0"/>
          <w:color w:val="auto"/>
          <w:sz w:val="30"/>
          <w:szCs w:val="30"/>
          <w:highlight w:val="none"/>
        </w:rPr>
      </w:pPr>
      <w:r>
        <w:rPr>
          <w:color w:val="auto"/>
        </w:rPr>
        <w:br w:type="page"/>
      </w:r>
      <w:r>
        <w:rPr>
          <w:rFonts w:ascii="Times New Roman" w:hAnsi="Times New Roman" w:eastAsia="黑体"/>
          <w:snapToGrid w:val="0"/>
          <w:color w:val="auto"/>
          <w:sz w:val="30"/>
          <w:szCs w:val="30"/>
          <w:highlight w:val="none"/>
        </w:rPr>
        <w:t>四、主要环境影响和保护措施</w:t>
      </w:r>
    </w:p>
    <w:tbl>
      <w:tblPr>
        <w:tblStyle w:val="35"/>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908"/>
      </w:tblGrid>
      <w:tr w14:paraId="6C9927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66" w:hRule="atLeast"/>
          <w:jc w:val="center"/>
        </w:trPr>
        <w:tc>
          <w:tcPr>
            <w:tcW w:w="8908" w:type="dxa"/>
            <w:shd w:val="clear" w:color="auto" w:fill="auto"/>
            <w:tcMar>
              <w:top w:w="0" w:type="dxa"/>
              <w:left w:w="28" w:type="dxa"/>
              <w:bottom w:w="0" w:type="dxa"/>
              <w:right w:w="28" w:type="dxa"/>
            </w:tcMar>
            <w:vAlign w:val="center"/>
          </w:tcPr>
          <w:p w14:paraId="5E71E338">
            <w:pPr>
              <w:pStyle w:val="61"/>
              <w:adjustRightInd w:val="0"/>
              <w:snapToGrid w:val="0"/>
              <w:spacing w:before="0" w:beforeAutospacing="0" w:after="0" w:afterAutospacing="0" w:line="360" w:lineRule="auto"/>
              <w:rPr>
                <w:rFonts w:ascii="Times New Roman" w:hAnsi="Times New Roman"/>
                <w:b/>
                <w:bCs/>
                <w:color w:val="auto"/>
                <w:kern w:val="2"/>
                <w:szCs w:val="24"/>
                <w:highlight w:val="none"/>
              </w:rPr>
            </w:pPr>
            <w:r>
              <w:rPr>
                <w:rFonts w:ascii="Times New Roman" w:hAnsi="Times New Roman"/>
                <w:b/>
                <w:bCs/>
                <w:color w:val="auto"/>
                <w:kern w:val="2"/>
                <w:szCs w:val="24"/>
                <w:highlight w:val="none"/>
              </w:rPr>
              <w:t>施工期环境保护措施：</w:t>
            </w:r>
          </w:p>
          <w:p w14:paraId="01633BBE">
            <w:pPr>
              <w:adjustRightInd w:val="0"/>
              <w:snapToGrid w:val="0"/>
              <w:spacing w:line="360" w:lineRule="auto"/>
              <w:ind w:firstLine="480" w:firstLineChars="200"/>
              <w:rPr>
                <w:bCs/>
                <w:color w:val="auto"/>
                <w:spacing w:val="-10"/>
                <w:szCs w:val="21"/>
                <w:highlight w:val="none"/>
              </w:rPr>
            </w:pPr>
            <w:r>
              <w:rPr>
                <w:color w:val="auto"/>
                <w:sz w:val="24"/>
                <w:highlight w:val="none"/>
              </w:rPr>
              <w:t>本项目为</w:t>
            </w:r>
            <w:r>
              <w:rPr>
                <w:rFonts w:hint="eastAsia"/>
                <w:color w:val="auto"/>
                <w:spacing w:val="-10"/>
                <w:sz w:val="24"/>
                <w:highlight w:val="none"/>
                <w:lang w:val="en-US" w:eastAsia="zh-CN"/>
              </w:rPr>
              <w:t>购买</w:t>
            </w:r>
            <w:r>
              <w:rPr>
                <w:color w:val="auto"/>
                <w:spacing w:val="-10"/>
                <w:sz w:val="24"/>
                <w:highlight w:val="none"/>
              </w:rPr>
              <w:t>原有已建好厂房</w:t>
            </w:r>
            <w:r>
              <w:rPr>
                <w:color w:val="auto"/>
                <w:sz w:val="24"/>
                <w:highlight w:val="none"/>
              </w:rPr>
              <w:t>，施工期已过，不存在施工期的环境影响。</w:t>
            </w:r>
          </w:p>
        </w:tc>
      </w:tr>
      <w:tr w14:paraId="11AA82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57" w:hRule="atLeast"/>
          <w:jc w:val="center"/>
        </w:trPr>
        <w:tc>
          <w:tcPr>
            <w:tcW w:w="8908" w:type="dxa"/>
            <w:shd w:val="clear" w:color="auto" w:fill="auto"/>
            <w:tcMar>
              <w:top w:w="0" w:type="dxa"/>
              <w:left w:w="28" w:type="dxa"/>
              <w:bottom w:w="0" w:type="dxa"/>
              <w:right w:w="28" w:type="dxa"/>
            </w:tcMar>
            <w:vAlign w:val="center"/>
          </w:tcPr>
          <w:p w14:paraId="3D6ABBBB">
            <w:pPr>
              <w:pStyle w:val="61"/>
              <w:adjustRightInd w:val="0"/>
              <w:snapToGrid w:val="0"/>
              <w:spacing w:before="0" w:beforeAutospacing="0" w:after="0" w:afterAutospacing="0" w:line="360" w:lineRule="auto"/>
              <w:rPr>
                <w:rFonts w:ascii="Times New Roman" w:hAnsi="Times New Roman"/>
                <w:b/>
                <w:bCs/>
                <w:color w:val="auto"/>
                <w:kern w:val="2"/>
                <w:szCs w:val="24"/>
                <w:highlight w:val="none"/>
              </w:rPr>
            </w:pPr>
            <w:r>
              <w:rPr>
                <w:rFonts w:ascii="Times New Roman" w:hAnsi="Times New Roman"/>
                <w:b/>
                <w:bCs/>
                <w:color w:val="auto"/>
                <w:kern w:val="2"/>
                <w:szCs w:val="24"/>
                <w:highlight w:val="none"/>
              </w:rPr>
              <w:t>运营期环境影响和保护措施：</w:t>
            </w:r>
          </w:p>
          <w:p w14:paraId="7A11CBD7">
            <w:pPr>
              <w:spacing w:before="120" w:beforeLines="50" w:line="360" w:lineRule="auto"/>
              <w:ind w:firstLine="482" w:firstLineChars="200"/>
              <w:rPr>
                <w:b/>
                <w:bCs/>
                <w:color w:val="auto"/>
                <w:sz w:val="24"/>
                <w:highlight w:val="none"/>
              </w:rPr>
            </w:pPr>
            <w:r>
              <w:rPr>
                <w:b/>
                <w:bCs/>
                <w:color w:val="auto"/>
                <w:sz w:val="24"/>
                <w:highlight w:val="none"/>
              </w:rPr>
              <w:t>一、水环境影响分析</w:t>
            </w:r>
          </w:p>
          <w:p w14:paraId="020BBC51">
            <w:pPr>
              <w:tabs>
                <w:tab w:val="left" w:pos="960"/>
              </w:tabs>
              <w:adjustRightInd w:val="0"/>
              <w:snapToGrid w:val="0"/>
              <w:spacing w:line="360" w:lineRule="auto"/>
              <w:ind w:firstLine="480"/>
              <w:rPr>
                <w:color w:val="auto"/>
                <w:sz w:val="24"/>
                <w:highlight w:val="none"/>
              </w:rPr>
            </w:pPr>
            <w:r>
              <w:rPr>
                <w:color w:val="auto"/>
                <w:sz w:val="24"/>
                <w:highlight w:val="none"/>
              </w:rPr>
              <w:t>（1）生活污水：项目员工生活污水排放量为</w:t>
            </w:r>
            <w:r>
              <w:rPr>
                <w:rFonts w:hint="eastAsia"/>
                <w:color w:val="auto"/>
                <w:sz w:val="24"/>
                <w:highlight w:val="none"/>
                <w:lang w:val="en-US" w:eastAsia="zh-CN"/>
              </w:rPr>
              <w:t>1512</w:t>
            </w:r>
            <w:r>
              <w:rPr>
                <w:color w:val="auto"/>
                <w:sz w:val="24"/>
                <w:highlight w:val="none"/>
              </w:rPr>
              <w:t>吨/年</w:t>
            </w:r>
            <w:r>
              <w:rPr>
                <w:rFonts w:hint="eastAsia"/>
                <w:color w:val="auto"/>
                <w:sz w:val="24"/>
                <w:highlight w:val="none"/>
                <w:lang w:eastAsia="zh-CN"/>
              </w:rPr>
              <w:t>，</w:t>
            </w:r>
            <w:r>
              <w:rPr>
                <w:color w:val="auto"/>
                <w:sz w:val="24"/>
              </w:rPr>
              <w:t>该项目属于</w:t>
            </w:r>
            <w:r>
              <w:rPr>
                <w:rFonts w:hint="eastAsia"/>
                <w:color w:val="auto"/>
                <w:sz w:val="24"/>
              </w:rPr>
              <w:t>中山市东凤镇污水处理有限责任公司</w:t>
            </w:r>
            <w:r>
              <w:rPr>
                <w:color w:val="auto"/>
                <w:sz w:val="24"/>
              </w:rPr>
              <w:t>的纳污范围，项目属</w:t>
            </w:r>
            <w:r>
              <w:rPr>
                <w:rFonts w:hint="eastAsia"/>
                <w:color w:val="auto"/>
                <w:sz w:val="24"/>
              </w:rPr>
              <w:t>中山市东凤镇污水处理有限责任公司</w:t>
            </w:r>
            <w:r>
              <w:rPr>
                <w:color w:val="auto"/>
                <w:sz w:val="24"/>
              </w:rPr>
              <w:t>纳污收集管网范围内，生活污水经三级化粪池预处理后经市政管网排入</w:t>
            </w:r>
            <w:r>
              <w:rPr>
                <w:rFonts w:hint="eastAsia"/>
                <w:color w:val="auto"/>
                <w:sz w:val="24"/>
              </w:rPr>
              <w:t>中山市东凤镇污水处理有限责任公司</w:t>
            </w:r>
            <w:r>
              <w:rPr>
                <w:color w:val="auto"/>
                <w:sz w:val="24"/>
              </w:rPr>
              <w:t>处理达标后排放至</w:t>
            </w:r>
            <w:r>
              <w:rPr>
                <w:rFonts w:hint="eastAsia"/>
                <w:color w:val="auto"/>
                <w:sz w:val="24"/>
              </w:rPr>
              <w:t>中心排河</w:t>
            </w:r>
            <w:r>
              <w:rPr>
                <w:color w:val="auto"/>
                <w:sz w:val="24"/>
                <w:highlight w:val="none"/>
              </w:rPr>
              <w:t>。</w:t>
            </w:r>
          </w:p>
          <w:p w14:paraId="1EBFEB50">
            <w:pPr>
              <w:wordWrap w:val="0"/>
              <w:topLinePunct/>
              <w:spacing w:line="360" w:lineRule="auto"/>
              <w:ind w:firstLine="480" w:firstLineChars="200"/>
              <w:rPr>
                <w:rFonts w:hint="eastAsia"/>
                <w:color w:val="auto"/>
                <w:sz w:val="24"/>
              </w:rPr>
            </w:pPr>
            <w:r>
              <w:rPr>
                <w:rFonts w:hint="eastAsia"/>
                <w:color w:val="auto"/>
                <w:sz w:val="24"/>
              </w:rPr>
              <w:t>中山市东凤镇污水处理有限责任公司</w:t>
            </w:r>
            <w:r>
              <w:rPr>
                <w:color w:val="auto"/>
                <w:sz w:val="24"/>
              </w:rPr>
              <w:t>位于中山市东凤镇</w:t>
            </w:r>
            <w:r>
              <w:rPr>
                <w:rFonts w:hint="eastAsia"/>
                <w:color w:val="auto"/>
                <w:sz w:val="24"/>
                <w:lang w:eastAsia="zh-CN"/>
              </w:rPr>
              <w:t>居民公寓</w:t>
            </w:r>
            <w:r>
              <w:rPr>
                <w:color w:val="auto"/>
                <w:sz w:val="24"/>
              </w:rPr>
              <w:t>；计划分三期建设，其中首期工程投资约1.29亿元，用地面积为5</w:t>
            </w:r>
            <w:r>
              <w:rPr>
                <w:rFonts w:hint="eastAsia"/>
                <w:color w:val="auto"/>
                <w:sz w:val="24"/>
              </w:rPr>
              <w:t>6.87</w:t>
            </w:r>
            <w:r>
              <w:rPr>
                <w:color w:val="auto"/>
                <w:sz w:val="24"/>
              </w:rPr>
              <w:t>亩，建设规模为处理量2万吨/日，采用目前较为成熟的生物处理工艺，于2009年4月建成投入使用；二期工程处理量为3万吨/日，用地面积39734.9平方米（约59.6亩），于2015年通过验收并投入使用；</w:t>
            </w:r>
            <w:r>
              <w:rPr>
                <w:rFonts w:hint="eastAsia"/>
                <w:color w:val="auto"/>
                <w:sz w:val="24"/>
              </w:rPr>
              <w:t>中山市东凤镇污水处理有限责任公司</w:t>
            </w:r>
            <w:r>
              <w:rPr>
                <w:color w:val="auto"/>
                <w:sz w:val="24"/>
              </w:rPr>
              <w:t>现有工程处理规模为5万吨/日，占地面积116.47亩。东凤镇生活污水处理厂自2008正式投入运行以来，污水处理设备运转良好，并且二期已经建设完成，日平均处理污水量为5万吨，通过分布城镇管网而收集的生活污水，经过处理后向</w:t>
            </w:r>
            <w:r>
              <w:rPr>
                <w:rFonts w:hint="eastAsia"/>
                <w:color w:val="auto"/>
                <w:sz w:val="24"/>
              </w:rPr>
              <w:t>中心排河</w:t>
            </w:r>
            <w:r>
              <w:rPr>
                <w:color w:val="auto"/>
                <w:sz w:val="24"/>
              </w:rPr>
              <w:t>达标排放。</w:t>
            </w:r>
            <w:r>
              <w:rPr>
                <w:rFonts w:hint="eastAsia"/>
                <w:color w:val="auto"/>
                <w:sz w:val="24"/>
              </w:rPr>
              <w:t>项目出水达到</w:t>
            </w:r>
            <w:r>
              <w:rPr>
                <w:rFonts w:hint="default" w:ascii="Times New Roman" w:hAnsi="Times New Roman" w:eastAsia="宋体" w:cs="Times New Roman"/>
                <w:color w:val="auto"/>
                <w:sz w:val="24"/>
                <w:highlight w:val="none"/>
              </w:rPr>
              <w:t>广东省《水污染物排放限值》(DB44/26-2001）第二时段一级标准</w:t>
            </w:r>
            <w:r>
              <w:rPr>
                <w:rFonts w:hint="eastAsia" w:cs="Times New Roman"/>
                <w:color w:val="auto"/>
                <w:sz w:val="24"/>
                <w:highlight w:val="none"/>
                <w:lang w:val="en-US" w:eastAsia="zh-CN"/>
              </w:rPr>
              <w:t>和</w:t>
            </w:r>
            <w:r>
              <w:rPr>
                <w:rFonts w:hint="eastAsia"/>
                <w:color w:val="auto"/>
                <w:sz w:val="24"/>
              </w:rPr>
              <w:t>《城镇污水处理厂污染物排放标准》（GB18918-2002）一级标准的A类标准。本项目生活废水排放量为</w:t>
            </w:r>
            <w:r>
              <w:rPr>
                <w:rFonts w:hint="eastAsia"/>
                <w:color w:val="auto"/>
                <w:sz w:val="24"/>
                <w:lang w:val="en-US" w:eastAsia="zh-CN"/>
              </w:rPr>
              <w:t>5.04</w:t>
            </w:r>
            <w:r>
              <w:rPr>
                <w:rFonts w:hint="eastAsia"/>
                <w:color w:val="auto"/>
                <w:sz w:val="24"/>
              </w:rPr>
              <w:t>t/d，占中山市东凤镇污水处理有限责任公司处理系统处理规模的0.0</w:t>
            </w:r>
            <w:r>
              <w:rPr>
                <w:rFonts w:hint="eastAsia"/>
                <w:color w:val="auto"/>
                <w:sz w:val="24"/>
                <w:lang w:val="en-US" w:eastAsia="zh-CN"/>
              </w:rPr>
              <w:t>1008</w:t>
            </w:r>
            <w:r>
              <w:rPr>
                <w:rFonts w:hint="eastAsia"/>
                <w:color w:val="auto"/>
                <w:sz w:val="24"/>
              </w:rPr>
              <w:t>%，占比较小。</w:t>
            </w:r>
          </w:p>
          <w:p w14:paraId="5561F3C7">
            <w:pPr>
              <w:pStyle w:val="26"/>
              <w:spacing w:line="360" w:lineRule="auto"/>
              <w:rPr>
                <w:color w:val="auto"/>
                <w:sz w:val="24"/>
              </w:rPr>
            </w:pPr>
            <w:r>
              <w:rPr>
                <w:color w:val="auto"/>
                <w:sz w:val="24"/>
              </w:rPr>
              <w:t>因此，本项目的生活污水水量对</w:t>
            </w:r>
            <w:r>
              <w:rPr>
                <w:rFonts w:hint="eastAsia"/>
                <w:color w:val="auto"/>
                <w:sz w:val="24"/>
              </w:rPr>
              <w:t>中山市东凤镇污水处理有限责任公司</w:t>
            </w:r>
            <w:r>
              <w:rPr>
                <w:color w:val="auto"/>
                <w:sz w:val="24"/>
              </w:rPr>
              <w:t>接纳量的影响很小，不会造成明显的负荷冲击，故本项目生活污水经三级化粪池处理达标后排入市政污水管网是可行的。</w:t>
            </w:r>
          </w:p>
          <w:p w14:paraId="625585AD">
            <w:pPr>
              <w:pStyle w:val="2"/>
              <w:numPr>
                <w:ilvl w:val="0"/>
                <w:numId w:val="0"/>
              </w:numPr>
              <w:spacing w:before="0" w:after="0" w:line="360" w:lineRule="auto"/>
              <w:ind w:leftChars="200"/>
              <w:rPr>
                <w:rFonts w:eastAsia="宋体"/>
                <w:b w:val="0"/>
                <w:bCs w:val="0"/>
                <w:color w:val="auto"/>
              </w:rPr>
            </w:pPr>
            <w:r>
              <w:rPr>
                <w:rFonts w:eastAsia="宋体"/>
                <w:b w:val="0"/>
                <w:bCs w:val="0"/>
                <w:color w:val="auto"/>
                <w:sz w:val="24"/>
                <w:szCs w:val="24"/>
              </w:rPr>
              <w:t>（2）生产废水：本项目注塑冷却用水循环使用不外排，无生产废水产生。</w:t>
            </w:r>
          </w:p>
          <w:p w14:paraId="4A3ABC00">
            <w:pPr>
              <w:pStyle w:val="95"/>
              <w:spacing w:before="120"/>
              <w:rPr>
                <w:b/>
                <w:color w:val="auto"/>
                <w:kern w:val="2"/>
                <w:sz w:val="21"/>
                <w:highlight w:val="none"/>
              </w:rPr>
            </w:pPr>
            <w:r>
              <w:rPr>
                <w:b/>
                <w:color w:val="auto"/>
                <w:kern w:val="2"/>
                <w:sz w:val="21"/>
                <w:highlight w:val="none"/>
              </w:rPr>
              <w:t>废水类别、污染物及污染治理设施信息表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351"/>
              <w:gridCol w:w="450"/>
              <w:gridCol w:w="847"/>
              <w:gridCol w:w="692"/>
              <w:gridCol w:w="563"/>
              <w:gridCol w:w="572"/>
              <w:gridCol w:w="870"/>
              <w:gridCol w:w="777"/>
              <w:gridCol w:w="740"/>
              <w:gridCol w:w="695"/>
              <w:gridCol w:w="739"/>
              <w:gridCol w:w="1546"/>
            </w:tblGrid>
            <w:tr w14:paraId="670EA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5" w:hRule="atLeast"/>
                <w:jc w:val="center"/>
              </w:trPr>
              <w:tc>
                <w:tcPr>
                  <w:tcW w:w="351" w:type="dxa"/>
                  <w:vMerge w:val="restart"/>
                  <w:shd w:val="clear" w:color="auto" w:fill="auto"/>
                  <w:tcMar>
                    <w:top w:w="15" w:type="dxa"/>
                    <w:left w:w="15" w:type="dxa"/>
                    <w:bottom w:w="0" w:type="dxa"/>
                    <w:right w:w="15" w:type="dxa"/>
                  </w:tcMar>
                  <w:vAlign w:val="center"/>
                </w:tcPr>
                <w:p w14:paraId="009653C7">
                  <w:pPr>
                    <w:widowControl/>
                    <w:jc w:val="center"/>
                    <w:textAlignment w:val="center"/>
                    <w:rPr>
                      <w:b/>
                      <w:color w:val="auto"/>
                      <w:szCs w:val="21"/>
                      <w:highlight w:val="none"/>
                    </w:rPr>
                  </w:pPr>
                  <w:r>
                    <w:rPr>
                      <w:b/>
                      <w:color w:val="auto"/>
                      <w:kern w:val="0"/>
                      <w:szCs w:val="21"/>
                      <w:highlight w:val="none"/>
                      <w:lang w:bidi="en-AU"/>
                    </w:rPr>
                    <w:t>序号</w:t>
                  </w:r>
                </w:p>
              </w:tc>
              <w:tc>
                <w:tcPr>
                  <w:tcW w:w="450" w:type="dxa"/>
                  <w:vMerge w:val="restart"/>
                  <w:shd w:val="clear" w:color="auto" w:fill="auto"/>
                  <w:tcMar>
                    <w:top w:w="15" w:type="dxa"/>
                    <w:left w:w="15" w:type="dxa"/>
                    <w:bottom w:w="0" w:type="dxa"/>
                    <w:right w:w="15" w:type="dxa"/>
                  </w:tcMar>
                  <w:vAlign w:val="center"/>
                </w:tcPr>
                <w:p w14:paraId="6C6E94B4">
                  <w:pPr>
                    <w:widowControl/>
                    <w:jc w:val="center"/>
                    <w:textAlignment w:val="center"/>
                    <w:rPr>
                      <w:b/>
                      <w:color w:val="auto"/>
                      <w:szCs w:val="21"/>
                      <w:highlight w:val="none"/>
                    </w:rPr>
                  </w:pPr>
                  <w:r>
                    <w:rPr>
                      <w:b/>
                      <w:color w:val="auto"/>
                      <w:kern w:val="0"/>
                      <w:szCs w:val="21"/>
                      <w:highlight w:val="none"/>
                      <w:lang w:bidi="en-AU"/>
                    </w:rPr>
                    <w:t>废水类别</w:t>
                  </w:r>
                </w:p>
              </w:tc>
              <w:tc>
                <w:tcPr>
                  <w:tcW w:w="847" w:type="dxa"/>
                  <w:vMerge w:val="restart"/>
                  <w:shd w:val="clear" w:color="auto" w:fill="auto"/>
                  <w:tcMar>
                    <w:top w:w="15" w:type="dxa"/>
                    <w:left w:w="15" w:type="dxa"/>
                    <w:bottom w:w="0" w:type="dxa"/>
                    <w:right w:w="15" w:type="dxa"/>
                  </w:tcMar>
                  <w:vAlign w:val="center"/>
                </w:tcPr>
                <w:p w14:paraId="24487BA7">
                  <w:pPr>
                    <w:widowControl/>
                    <w:jc w:val="center"/>
                    <w:textAlignment w:val="center"/>
                    <w:rPr>
                      <w:b/>
                      <w:color w:val="auto"/>
                      <w:szCs w:val="21"/>
                      <w:highlight w:val="none"/>
                    </w:rPr>
                  </w:pPr>
                  <w:r>
                    <w:rPr>
                      <w:b/>
                      <w:color w:val="auto"/>
                      <w:kern w:val="0"/>
                      <w:szCs w:val="21"/>
                      <w:highlight w:val="none"/>
                      <w:lang w:bidi="en-AU"/>
                    </w:rPr>
                    <w:t>污染物种类</w:t>
                  </w:r>
                </w:p>
              </w:tc>
              <w:tc>
                <w:tcPr>
                  <w:tcW w:w="692" w:type="dxa"/>
                  <w:vMerge w:val="restart"/>
                  <w:shd w:val="clear" w:color="auto" w:fill="auto"/>
                  <w:tcMar>
                    <w:top w:w="15" w:type="dxa"/>
                    <w:left w:w="15" w:type="dxa"/>
                    <w:bottom w:w="0" w:type="dxa"/>
                    <w:right w:w="15" w:type="dxa"/>
                  </w:tcMar>
                  <w:vAlign w:val="center"/>
                </w:tcPr>
                <w:p w14:paraId="651BCDF5">
                  <w:pPr>
                    <w:widowControl/>
                    <w:jc w:val="center"/>
                    <w:textAlignment w:val="center"/>
                    <w:rPr>
                      <w:b/>
                      <w:color w:val="auto"/>
                      <w:szCs w:val="21"/>
                      <w:highlight w:val="none"/>
                    </w:rPr>
                  </w:pPr>
                  <w:r>
                    <w:rPr>
                      <w:b/>
                      <w:color w:val="auto"/>
                      <w:kern w:val="0"/>
                      <w:szCs w:val="21"/>
                      <w:highlight w:val="none"/>
                      <w:lang w:bidi="en-AU"/>
                    </w:rPr>
                    <w:t>排放去向</w:t>
                  </w:r>
                </w:p>
              </w:tc>
              <w:tc>
                <w:tcPr>
                  <w:tcW w:w="563" w:type="dxa"/>
                  <w:vMerge w:val="restart"/>
                  <w:shd w:val="clear" w:color="auto" w:fill="auto"/>
                  <w:tcMar>
                    <w:top w:w="15" w:type="dxa"/>
                    <w:left w:w="15" w:type="dxa"/>
                    <w:bottom w:w="0" w:type="dxa"/>
                    <w:right w:w="15" w:type="dxa"/>
                  </w:tcMar>
                  <w:vAlign w:val="center"/>
                </w:tcPr>
                <w:p w14:paraId="79939DA3">
                  <w:pPr>
                    <w:widowControl/>
                    <w:jc w:val="center"/>
                    <w:textAlignment w:val="center"/>
                    <w:rPr>
                      <w:b/>
                      <w:color w:val="auto"/>
                      <w:szCs w:val="21"/>
                      <w:highlight w:val="none"/>
                    </w:rPr>
                  </w:pPr>
                  <w:r>
                    <w:rPr>
                      <w:b/>
                      <w:color w:val="auto"/>
                      <w:kern w:val="0"/>
                      <w:szCs w:val="21"/>
                      <w:highlight w:val="none"/>
                      <w:lang w:bidi="en-AU"/>
                    </w:rPr>
                    <w:t>排放方式</w:t>
                  </w:r>
                </w:p>
              </w:tc>
              <w:tc>
                <w:tcPr>
                  <w:tcW w:w="572" w:type="dxa"/>
                  <w:vMerge w:val="restart"/>
                  <w:shd w:val="clear" w:color="auto" w:fill="auto"/>
                  <w:tcMar>
                    <w:top w:w="15" w:type="dxa"/>
                    <w:left w:w="15" w:type="dxa"/>
                    <w:bottom w:w="0" w:type="dxa"/>
                    <w:right w:w="15" w:type="dxa"/>
                  </w:tcMar>
                  <w:vAlign w:val="center"/>
                </w:tcPr>
                <w:p w14:paraId="5BDFA376">
                  <w:pPr>
                    <w:widowControl/>
                    <w:jc w:val="center"/>
                    <w:textAlignment w:val="center"/>
                    <w:rPr>
                      <w:b/>
                      <w:color w:val="auto"/>
                      <w:kern w:val="0"/>
                      <w:szCs w:val="21"/>
                      <w:highlight w:val="none"/>
                      <w:lang w:bidi="en-AU"/>
                    </w:rPr>
                  </w:pPr>
                  <w:r>
                    <w:rPr>
                      <w:b/>
                      <w:color w:val="auto"/>
                      <w:kern w:val="0"/>
                      <w:szCs w:val="21"/>
                      <w:highlight w:val="none"/>
                      <w:lang w:bidi="en-AU"/>
                    </w:rPr>
                    <w:t>排放规律</w:t>
                  </w:r>
                </w:p>
              </w:tc>
              <w:tc>
                <w:tcPr>
                  <w:tcW w:w="2387" w:type="dxa"/>
                  <w:gridSpan w:val="3"/>
                  <w:shd w:val="clear" w:color="auto" w:fill="auto"/>
                  <w:tcMar>
                    <w:top w:w="15" w:type="dxa"/>
                    <w:left w:w="15" w:type="dxa"/>
                    <w:bottom w:w="0" w:type="dxa"/>
                    <w:right w:w="15" w:type="dxa"/>
                  </w:tcMar>
                  <w:vAlign w:val="center"/>
                </w:tcPr>
                <w:p w14:paraId="40A0D225">
                  <w:pPr>
                    <w:widowControl/>
                    <w:jc w:val="center"/>
                    <w:textAlignment w:val="center"/>
                    <w:rPr>
                      <w:b/>
                      <w:color w:val="auto"/>
                      <w:szCs w:val="21"/>
                      <w:highlight w:val="none"/>
                    </w:rPr>
                  </w:pPr>
                  <w:r>
                    <w:rPr>
                      <w:b/>
                      <w:color w:val="auto"/>
                      <w:kern w:val="0"/>
                      <w:szCs w:val="21"/>
                      <w:highlight w:val="none"/>
                      <w:lang w:bidi="en-AU"/>
                    </w:rPr>
                    <w:t>污染治理设施</w:t>
                  </w:r>
                </w:p>
              </w:tc>
              <w:tc>
                <w:tcPr>
                  <w:tcW w:w="695" w:type="dxa"/>
                  <w:vMerge w:val="restart"/>
                  <w:shd w:val="clear" w:color="auto" w:fill="auto"/>
                  <w:tcMar>
                    <w:top w:w="15" w:type="dxa"/>
                    <w:left w:w="15" w:type="dxa"/>
                    <w:bottom w:w="0" w:type="dxa"/>
                    <w:right w:w="15" w:type="dxa"/>
                  </w:tcMar>
                  <w:vAlign w:val="center"/>
                </w:tcPr>
                <w:p w14:paraId="14CC219D">
                  <w:pPr>
                    <w:widowControl/>
                    <w:jc w:val="center"/>
                    <w:textAlignment w:val="center"/>
                    <w:rPr>
                      <w:b/>
                      <w:color w:val="auto"/>
                      <w:szCs w:val="21"/>
                      <w:highlight w:val="none"/>
                    </w:rPr>
                  </w:pPr>
                  <w:r>
                    <w:rPr>
                      <w:b/>
                      <w:color w:val="auto"/>
                      <w:kern w:val="0"/>
                      <w:szCs w:val="21"/>
                      <w:highlight w:val="none"/>
                      <w:lang w:bidi="en-AU"/>
                    </w:rPr>
                    <w:t>排放口编号</w:t>
                  </w:r>
                </w:p>
              </w:tc>
              <w:tc>
                <w:tcPr>
                  <w:tcW w:w="739" w:type="dxa"/>
                  <w:vMerge w:val="restart"/>
                  <w:shd w:val="clear" w:color="auto" w:fill="auto"/>
                  <w:tcMar>
                    <w:top w:w="15" w:type="dxa"/>
                    <w:left w:w="15" w:type="dxa"/>
                    <w:bottom w:w="0" w:type="dxa"/>
                    <w:right w:w="15" w:type="dxa"/>
                  </w:tcMar>
                  <w:vAlign w:val="center"/>
                </w:tcPr>
                <w:p w14:paraId="67FD7900">
                  <w:pPr>
                    <w:widowControl/>
                    <w:jc w:val="center"/>
                    <w:textAlignment w:val="center"/>
                    <w:rPr>
                      <w:b/>
                      <w:color w:val="auto"/>
                      <w:szCs w:val="21"/>
                      <w:highlight w:val="none"/>
                    </w:rPr>
                  </w:pPr>
                  <w:r>
                    <w:rPr>
                      <w:b/>
                      <w:color w:val="auto"/>
                      <w:kern w:val="0"/>
                      <w:szCs w:val="21"/>
                      <w:highlight w:val="none"/>
                      <w:lang w:bidi="en-AU"/>
                    </w:rPr>
                    <w:t>排放口设置是否符合要求</w:t>
                  </w:r>
                </w:p>
              </w:tc>
              <w:tc>
                <w:tcPr>
                  <w:tcW w:w="1546" w:type="dxa"/>
                  <w:vMerge w:val="restart"/>
                  <w:shd w:val="clear" w:color="auto" w:fill="auto"/>
                  <w:tcMar>
                    <w:top w:w="15" w:type="dxa"/>
                    <w:left w:w="15" w:type="dxa"/>
                    <w:bottom w:w="0" w:type="dxa"/>
                    <w:right w:w="15" w:type="dxa"/>
                  </w:tcMar>
                  <w:vAlign w:val="center"/>
                </w:tcPr>
                <w:p w14:paraId="2C3EA9A3">
                  <w:pPr>
                    <w:widowControl/>
                    <w:jc w:val="center"/>
                    <w:textAlignment w:val="center"/>
                    <w:rPr>
                      <w:b/>
                      <w:color w:val="auto"/>
                      <w:szCs w:val="21"/>
                      <w:highlight w:val="none"/>
                    </w:rPr>
                  </w:pPr>
                  <w:r>
                    <w:rPr>
                      <w:b/>
                      <w:color w:val="auto"/>
                      <w:kern w:val="0"/>
                      <w:szCs w:val="21"/>
                      <w:highlight w:val="none"/>
                      <w:lang w:bidi="en-AU"/>
                    </w:rPr>
                    <w:t>排放口类型</w:t>
                  </w:r>
                </w:p>
              </w:tc>
            </w:tr>
            <w:tr w14:paraId="453F1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5" w:hRule="atLeast"/>
                <w:jc w:val="center"/>
              </w:trPr>
              <w:tc>
                <w:tcPr>
                  <w:tcW w:w="351" w:type="dxa"/>
                  <w:vMerge w:val="continue"/>
                  <w:shd w:val="clear" w:color="auto" w:fill="auto"/>
                  <w:tcMar>
                    <w:top w:w="15" w:type="dxa"/>
                    <w:left w:w="15" w:type="dxa"/>
                    <w:bottom w:w="0" w:type="dxa"/>
                    <w:right w:w="15" w:type="dxa"/>
                  </w:tcMar>
                  <w:vAlign w:val="center"/>
                </w:tcPr>
                <w:p w14:paraId="419A29A1">
                  <w:pPr>
                    <w:jc w:val="center"/>
                    <w:rPr>
                      <w:b/>
                      <w:color w:val="auto"/>
                      <w:szCs w:val="21"/>
                      <w:highlight w:val="none"/>
                    </w:rPr>
                  </w:pPr>
                </w:p>
              </w:tc>
              <w:tc>
                <w:tcPr>
                  <w:tcW w:w="450" w:type="dxa"/>
                  <w:vMerge w:val="continue"/>
                  <w:shd w:val="clear" w:color="auto" w:fill="auto"/>
                  <w:tcMar>
                    <w:top w:w="15" w:type="dxa"/>
                    <w:left w:w="15" w:type="dxa"/>
                    <w:bottom w:w="0" w:type="dxa"/>
                    <w:right w:w="15" w:type="dxa"/>
                  </w:tcMar>
                  <w:vAlign w:val="center"/>
                </w:tcPr>
                <w:p w14:paraId="6DF97337">
                  <w:pPr>
                    <w:jc w:val="center"/>
                    <w:rPr>
                      <w:b/>
                      <w:color w:val="auto"/>
                      <w:szCs w:val="21"/>
                      <w:highlight w:val="none"/>
                    </w:rPr>
                  </w:pPr>
                </w:p>
              </w:tc>
              <w:tc>
                <w:tcPr>
                  <w:tcW w:w="847" w:type="dxa"/>
                  <w:vMerge w:val="continue"/>
                  <w:shd w:val="clear" w:color="auto" w:fill="auto"/>
                  <w:tcMar>
                    <w:top w:w="15" w:type="dxa"/>
                    <w:left w:w="15" w:type="dxa"/>
                    <w:bottom w:w="0" w:type="dxa"/>
                    <w:right w:w="15" w:type="dxa"/>
                  </w:tcMar>
                  <w:vAlign w:val="center"/>
                </w:tcPr>
                <w:p w14:paraId="1DB7A19E">
                  <w:pPr>
                    <w:jc w:val="center"/>
                    <w:rPr>
                      <w:b/>
                      <w:color w:val="auto"/>
                      <w:szCs w:val="21"/>
                      <w:highlight w:val="none"/>
                    </w:rPr>
                  </w:pPr>
                </w:p>
              </w:tc>
              <w:tc>
                <w:tcPr>
                  <w:tcW w:w="692" w:type="dxa"/>
                  <w:vMerge w:val="continue"/>
                  <w:shd w:val="clear" w:color="auto" w:fill="auto"/>
                  <w:tcMar>
                    <w:top w:w="15" w:type="dxa"/>
                    <w:left w:w="15" w:type="dxa"/>
                    <w:bottom w:w="0" w:type="dxa"/>
                    <w:right w:w="15" w:type="dxa"/>
                  </w:tcMar>
                  <w:vAlign w:val="center"/>
                </w:tcPr>
                <w:p w14:paraId="7A40AE05">
                  <w:pPr>
                    <w:jc w:val="center"/>
                    <w:rPr>
                      <w:b/>
                      <w:color w:val="auto"/>
                      <w:szCs w:val="21"/>
                      <w:highlight w:val="none"/>
                    </w:rPr>
                  </w:pPr>
                </w:p>
              </w:tc>
              <w:tc>
                <w:tcPr>
                  <w:tcW w:w="563" w:type="dxa"/>
                  <w:vMerge w:val="continue"/>
                  <w:shd w:val="clear" w:color="auto" w:fill="auto"/>
                  <w:tcMar>
                    <w:top w:w="15" w:type="dxa"/>
                    <w:left w:w="15" w:type="dxa"/>
                    <w:bottom w:w="0" w:type="dxa"/>
                    <w:right w:w="15" w:type="dxa"/>
                  </w:tcMar>
                  <w:vAlign w:val="center"/>
                </w:tcPr>
                <w:p w14:paraId="1734DDB0">
                  <w:pPr>
                    <w:jc w:val="center"/>
                    <w:rPr>
                      <w:b/>
                      <w:color w:val="auto"/>
                      <w:szCs w:val="21"/>
                      <w:highlight w:val="none"/>
                    </w:rPr>
                  </w:pPr>
                </w:p>
              </w:tc>
              <w:tc>
                <w:tcPr>
                  <w:tcW w:w="572" w:type="dxa"/>
                  <w:vMerge w:val="continue"/>
                  <w:shd w:val="clear" w:color="auto" w:fill="auto"/>
                  <w:tcMar>
                    <w:top w:w="15" w:type="dxa"/>
                    <w:left w:w="15" w:type="dxa"/>
                    <w:bottom w:w="0" w:type="dxa"/>
                    <w:right w:w="15" w:type="dxa"/>
                  </w:tcMar>
                  <w:vAlign w:val="center"/>
                </w:tcPr>
                <w:p w14:paraId="65AA8B6B">
                  <w:pPr>
                    <w:jc w:val="center"/>
                    <w:rPr>
                      <w:b/>
                      <w:color w:val="auto"/>
                      <w:szCs w:val="21"/>
                      <w:highlight w:val="none"/>
                    </w:rPr>
                  </w:pPr>
                </w:p>
              </w:tc>
              <w:tc>
                <w:tcPr>
                  <w:tcW w:w="870" w:type="dxa"/>
                  <w:shd w:val="clear" w:color="auto" w:fill="auto"/>
                  <w:tcMar>
                    <w:top w:w="15" w:type="dxa"/>
                    <w:left w:w="15" w:type="dxa"/>
                    <w:bottom w:w="0" w:type="dxa"/>
                    <w:right w:w="15" w:type="dxa"/>
                  </w:tcMar>
                  <w:vAlign w:val="center"/>
                </w:tcPr>
                <w:p w14:paraId="4055B6B1">
                  <w:pPr>
                    <w:widowControl/>
                    <w:jc w:val="center"/>
                    <w:textAlignment w:val="center"/>
                    <w:rPr>
                      <w:b/>
                      <w:color w:val="auto"/>
                      <w:szCs w:val="21"/>
                      <w:highlight w:val="none"/>
                    </w:rPr>
                  </w:pPr>
                  <w:r>
                    <w:rPr>
                      <w:b/>
                      <w:color w:val="auto"/>
                      <w:kern w:val="0"/>
                      <w:szCs w:val="21"/>
                      <w:highlight w:val="none"/>
                      <w:lang w:bidi="en-AU"/>
                    </w:rPr>
                    <w:t>污染治理设施编号</w:t>
                  </w:r>
                </w:p>
              </w:tc>
              <w:tc>
                <w:tcPr>
                  <w:tcW w:w="777" w:type="dxa"/>
                  <w:shd w:val="clear" w:color="auto" w:fill="auto"/>
                  <w:tcMar>
                    <w:top w:w="15" w:type="dxa"/>
                    <w:left w:w="15" w:type="dxa"/>
                    <w:bottom w:w="0" w:type="dxa"/>
                    <w:right w:w="15" w:type="dxa"/>
                  </w:tcMar>
                  <w:vAlign w:val="center"/>
                </w:tcPr>
                <w:p w14:paraId="551030EF">
                  <w:pPr>
                    <w:widowControl/>
                    <w:jc w:val="center"/>
                    <w:textAlignment w:val="center"/>
                    <w:rPr>
                      <w:b/>
                      <w:color w:val="auto"/>
                      <w:szCs w:val="21"/>
                      <w:highlight w:val="none"/>
                    </w:rPr>
                  </w:pPr>
                  <w:r>
                    <w:rPr>
                      <w:b/>
                      <w:color w:val="auto"/>
                      <w:kern w:val="0"/>
                      <w:szCs w:val="21"/>
                      <w:highlight w:val="none"/>
                      <w:lang w:bidi="en-AU"/>
                    </w:rPr>
                    <w:t>污染治理设施名称</w:t>
                  </w:r>
                </w:p>
              </w:tc>
              <w:tc>
                <w:tcPr>
                  <w:tcW w:w="740" w:type="dxa"/>
                  <w:shd w:val="clear" w:color="auto" w:fill="auto"/>
                  <w:tcMar>
                    <w:top w:w="15" w:type="dxa"/>
                    <w:left w:w="15" w:type="dxa"/>
                    <w:bottom w:w="0" w:type="dxa"/>
                    <w:right w:w="15" w:type="dxa"/>
                  </w:tcMar>
                  <w:vAlign w:val="center"/>
                </w:tcPr>
                <w:p w14:paraId="54EAEF3F">
                  <w:pPr>
                    <w:widowControl/>
                    <w:jc w:val="center"/>
                    <w:textAlignment w:val="center"/>
                    <w:rPr>
                      <w:b/>
                      <w:color w:val="auto"/>
                      <w:szCs w:val="21"/>
                      <w:highlight w:val="none"/>
                    </w:rPr>
                  </w:pPr>
                  <w:r>
                    <w:rPr>
                      <w:b/>
                      <w:color w:val="auto"/>
                      <w:kern w:val="0"/>
                      <w:szCs w:val="21"/>
                      <w:highlight w:val="none"/>
                      <w:lang w:bidi="en-AU"/>
                    </w:rPr>
                    <w:t>污染治理设施工艺</w:t>
                  </w:r>
                </w:p>
              </w:tc>
              <w:tc>
                <w:tcPr>
                  <w:tcW w:w="695" w:type="dxa"/>
                  <w:vMerge w:val="continue"/>
                  <w:shd w:val="clear" w:color="auto" w:fill="auto"/>
                  <w:tcMar>
                    <w:top w:w="15" w:type="dxa"/>
                    <w:left w:w="15" w:type="dxa"/>
                    <w:bottom w:w="0" w:type="dxa"/>
                    <w:right w:w="15" w:type="dxa"/>
                  </w:tcMar>
                  <w:vAlign w:val="center"/>
                </w:tcPr>
                <w:p w14:paraId="658A9935">
                  <w:pPr>
                    <w:jc w:val="center"/>
                    <w:rPr>
                      <w:b/>
                      <w:color w:val="auto"/>
                      <w:szCs w:val="21"/>
                      <w:highlight w:val="none"/>
                    </w:rPr>
                  </w:pPr>
                </w:p>
              </w:tc>
              <w:tc>
                <w:tcPr>
                  <w:tcW w:w="739" w:type="dxa"/>
                  <w:vMerge w:val="continue"/>
                  <w:shd w:val="clear" w:color="auto" w:fill="auto"/>
                  <w:tcMar>
                    <w:top w:w="15" w:type="dxa"/>
                    <w:left w:w="15" w:type="dxa"/>
                    <w:bottom w:w="0" w:type="dxa"/>
                    <w:right w:w="15" w:type="dxa"/>
                  </w:tcMar>
                  <w:vAlign w:val="center"/>
                </w:tcPr>
                <w:p w14:paraId="03FE2E5D">
                  <w:pPr>
                    <w:jc w:val="center"/>
                    <w:rPr>
                      <w:b/>
                      <w:color w:val="auto"/>
                      <w:szCs w:val="21"/>
                      <w:highlight w:val="none"/>
                    </w:rPr>
                  </w:pPr>
                </w:p>
              </w:tc>
              <w:tc>
                <w:tcPr>
                  <w:tcW w:w="1546" w:type="dxa"/>
                  <w:vMerge w:val="continue"/>
                  <w:shd w:val="clear" w:color="auto" w:fill="auto"/>
                  <w:tcMar>
                    <w:top w:w="15" w:type="dxa"/>
                    <w:left w:w="15" w:type="dxa"/>
                    <w:bottom w:w="0" w:type="dxa"/>
                    <w:right w:w="15" w:type="dxa"/>
                  </w:tcMar>
                  <w:vAlign w:val="center"/>
                </w:tcPr>
                <w:p w14:paraId="2F41E923">
                  <w:pPr>
                    <w:jc w:val="center"/>
                    <w:rPr>
                      <w:b/>
                      <w:color w:val="auto"/>
                      <w:szCs w:val="21"/>
                      <w:highlight w:val="none"/>
                    </w:rPr>
                  </w:pPr>
                </w:p>
              </w:tc>
            </w:tr>
            <w:tr w14:paraId="14C5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652" w:hRule="atLeast"/>
                <w:jc w:val="center"/>
              </w:trPr>
              <w:tc>
                <w:tcPr>
                  <w:tcW w:w="351" w:type="dxa"/>
                  <w:shd w:val="clear" w:color="auto" w:fill="auto"/>
                  <w:tcMar>
                    <w:top w:w="15" w:type="dxa"/>
                    <w:left w:w="15" w:type="dxa"/>
                    <w:bottom w:w="0" w:type="dxa"/>
                    <w:right w:w="15" w:type="dxa"/>
                  </w:tcMar>
                  <w:vAlign w:val="center"/>
                </w:tcPr>
                <w:p w14:paraId="77194685">
                  <w:pPr>
                    <w:widowControl/>
                    <w:jc w:val="center"/>
                    <w:textAlignment w:val="center"/>
                    <w:rPr>
                      <w:color w:val="auto"/>
                      <w:kern w:val="0"/>
                      <w:szCs w:val="21"/>
                      <w:highlight w:val="none"/>
                      <w:lang w:bidi="en-AU"/>
                    </w:rPr>
                  </w:pPr>
                  <w:r>
                    <w:rPr>
                      <w:rFonts w:hint="eastAsia"/>
                      <w:color w:val="auto"/>
                      <w:kern w:val="0"/>
                      <w:szCs w:val="21"/>
                      <w:highlight w:val="none"/>
                      <w:lang w:bidi="en-AU"/>
                    </w:rPr>
                    <w:t>1</w:t>
                  </w:r>
                </w:p>
              </w:tc>
              <w:tc>
                <w:tcPr>
                  <w:tcW w:w="450" w:type="dxa"/>
                  <w:shd w:val="clear" w:color="auto" w:fill="auto"/>
                  <w:tcMar>
                    <w:top w:w="15" w:type="dxa"/>
                    <w:left w:w="15" w:type="dxa"/>
                    <w:bottom w:w="0" w:type="dxa"/>
                    <w:right w:w="15" w:type="dxa"/>
                  </w:tcMar>
                  <w:vAlign w:val="center"/>
                </w:tcPr>
                <w:p w14:paraId="10848A69">
                  <w:pPr>
                    <w:widowControl/>
                    <w:jc w:val="center"/>
                    <w:textAlignment w:val="center"/>
                    <w:rPr>
                      <w:color w:val="auto"/>
                      <w:kern w:val="0"/>
                      <w:szCs w:val="21"/>
                      <w:highlight w:val="none"/>
                      <w:lang w:bidi="en-AU"/>
                    </w:rPr>
                  </w:pPr>
                  <w:r>
                    <w:rPr>
                      <w:color w:val="auto"/>
                      <w:kern w:val="0"/>
                      <w:szCs w:val="21"/>
                      <w:highlight w:val="none"/>
                      <w:lang w:bidi="en-AU"/>
                    </w:rPr>
                    <w:t>生活</w:t>
                  </w:r>
                  <w:r>
                    <w:rPr>
                      <w:rFonts w:hint="eastAsia"/>
                      <w:color w:val="auto"/>
                      <w:kern w:val="0"/>
                      <w:szCs w:val="21"/>
                      <w:highlight w:val="none"/>
                      <w:lang w:bidi="en-AU"/>
                    </w:rPr>
                    <w:t>污水</w:t>
                  </w:r>
                </w:p>
              </w:tc>
              <w:tc>
                <w:tcPr>
                  <w:tcW w:w="847" w:type="dxa"/>
                  <w:shd w:val="clear" w:color="auto" w:fill="auto"/>
                  <w:tcMar>
                    <w:top w:w="15" w:type="dxa"/>
                    <w:left w:w="15" w:type="dxa"/>
                    <w:bottom w:w="0" w:type="dxa"/>
                    <w:right w:w="15" w:type="dxa"/>
                  </w:tcMar>
                  <w:vAlign w:val="center"/>
                </w:tcPr>
                <w:p w14:paraId="22509CCA">
                  <w:pPr>
                    <w:widowControl/>
                    <w:jc w:val="center"/>
                    <w:textAlignment w:val="center"/>
                    <w:rPr>
                      <w:color w:val="auto"/>
                      <w:kern w:val="0"/>
                      <w:szCs w:val="21"/>
                      <w:highlight w:val="none"/>
                      <w:lang w:bidi="en-AU"/>
                    </w:rPr>
                  </w:pPr>
                  <w:r>
                    <w:rPr>
                      <w:rFonts w:hint="eastAsia"/>
                      <w:color w:val="auto"/>
                      <w:kern w:val="0"/>
                      <w:szCs w:val="21"/>
                      <w:highlight w:val="none"/>
                      <w:lang w:bidi="en-AU"/>
                    </w:rPr>
                    <w:t>pH、</w:t>
                  </w:r>
                  <w:r>
                    <w:rPr>
                      <w:color w:val="auto"/>
                      <w:kern w:val="0"/>
                      <w:szCs w:val="21"/>
                      <w:highlight w:val="none"/>
                      <w:lang w:bidi="en-AU"/>
                    </w:rPr>
                    <w:t>CODcr、BOD</w:t>
                  </w:r>
                  <w:r>
                    <w:rPr>
                      <w:color w:val="auto"/>
                      <w:kern w:val="0"/>
                      <w:szCs w:val="21"/>
                      <w:highlight w:val="none"/>
                      <w:vertAlign w:val="subscript"/>
                      <w:lang w:bidi="en-AU"/>
                    </w:rPr>
                    <w:t>5</w:t>
                  </w:r>
                  <w:r>
                    <w:rPr>
                      <w:color w:val="auto"/>
                      <w:kern w:val="0"/>
                      <w:szCs w:val="21"/>
                      <w:highlight w:val="none"/>
                      <w:lang w:bidi="en-AU"/>
                    </w:rPr>
                    <w:t>、SS及氨氮</w:t>
                  </w:r>
                </w:p>
              </w:tc>
              <w:tc>
                <w:tcPr>
                  <w:tcW w:w="692" w:type="dxa"/>
                  <w:shd w:val="clear" w:color="auto" w:fill="auto"/>
                  <w:tcMar>
                    <w:top w:w="15" w:type="dxa"/>
                    <w:left w:w="15" w:type="dxa"/>
                    <w:bottom w:w="0" w:type="dxa"/>
                    <w:right w:w="15" w:type="dxa"/>
                  </w:tcMar>
                  <w:vAlign w:val="center"/>
                </w:tcPr>
                <w:p w14:paraId="062834A7">
                  <w:pPr>
                    <w:widowControl/>
                    <w:jc w:val="center"/>
                    <w:textAlignment w:val="center"/>
                    <w:rPr>
                      <w:color w:val="auto"/>
                      <w:kern w:val="0"/>
                      <w:szCs w:val="21"/>
                      <w:highlight w:val="none"/>
                      <w:lang w:bidi="en-AU"/>
                    </w:rPr>
                  </w:pPr>
                  <w:r>
                    <w:rPr>
                      <w:rFonts w:hint="eastAsia"/>
                      <w:bCs/>
                      <w:color w:val="auto"/>
                      <w:sz w:val="21"/>
                      <w:szCs w:val="21"/>
                      <w:highlight w:val="none"/>
                      <w:lang w:eastAsia="zh-CN"/>
                    </w:rPr>
                    <w:t>中山市东凤镇污水处理有限责任公司</w:t>
                  </w:r>
                </w:p>
              </w:tc>
              <w:tc>
                <w:tcPr>
                  <w:tcW w:w="563" w:type="dxa"/>
                  <w:shd w:val="clear" w:color="auto" w:fill="auto"/>
                  <w:tcMar>
                    <w:top w:w="15" w:type="dxa"/>
                    <w:left w:w="15" w:type="dxa"/>
                    <w:bottom w:w="0" w:type="dxa"/>
                    <w:right w:w="15" w:type="dxa"/>
                  </w:tcMar>
                  <w:vAlign w:val="center"/>
                </w:tcPr>
                <w:p w14:paraId="2B98EF5B">
                  <w:pPr>
                    <w:widowControl/>
                    <w:jc w:val="center"/>
                    <w:textAlignment w:val="center"/>
                    <w:rPr>
                      <w:color w:val="auto"/>
                      <w:kern w:val="0"/>
                      <w:szCs w:val="21"/>
                      <w:highlight w:val="none"/>
                      <w:lang w:bidi="en-AU"/>
                    </w:rPr>
                  </w:pPr>
                  <w:r>
                    <w:rPr>
                      <w:color w:val="auto"/>
                      <w:kern w:val="0"/>
                      <w:szCs w:val="21"/>
                      <w:highlight w:val="none"/>
                      <w:lang w:bidi="en-AU"/>
                    </w:rPr>
                    <w:t>间接排放</w:t>
                  </w:r>
                </w:p>
              </w:tc>
              <w:tc>
                <w:tcPr>
                  <w:tcW w:w="572" w:type="dxa"/>
                  <w:shd w:val="clear" w:color="auto" w:fill="auto"/>
                  <w:tcMar>
                    <w:top w:w="15" w:type="dxa"/>
                    <w:left w:w="15" w:type="dxa"/>
                    <w:bottom w:w="0" w:type="dxa"/>
                    <w:right w:w="15" w:type="dxa"/>
                  </w:tcMar>
                  <w:vAlign w:val="center"/>
                </w:tcPr>
                <w:p w14:paraId="3495ABF3">
                  <w:pPr>
                    <w:widowControl/>
                    <w:jc w:val="center"/>
                    <w:textAlignment w:val="center"/>
                    <w:rPr>
                      <w:color w:val="auto"/>
                      <w:kern w:val="0"/>
                      <w:szCs w:val="21"/>
                      <w:highlight w:val="none"/>
                      <w:lang w:bidi="en-AU"/>
                    </w:rPr>
                  </w:pPr>
                  <w:r>
                    <w:rPr>
                      <w:color w:val="auto"/>
                      <w:kern w:val="0"/>
                      <w:szCs w:val="21"/>
                      <w:highlight w:val="none"/>
                      <w:lang w:bidi="en-AU"/>
                    </w:rPr>
                    <w:t>间断排放，排放期间流量稳定</w:t>
                  </w:r>
                </w:p>
              </w:tc>
              <w:tc>
                <w:tcPr>
                  <w:tcW w:w="870" w:type="dxa"/>
                  <w:shd w:val="clear" w:color="auto" w:fill="auto"/>
                  <w:tcMar>
                    <w:top w:w="15" w:type="dxa"/>
                    <w:left w:w="15" w:type="dxa"/>
                    <w:bottom w:w="0" w:type="dxa"/>
                    <w:right w:w="15" w:type="dxa"/>
                  </w:tcMar>
                  <w:vAlign w:val="center"/>
                </w:tcPr>
                <w:p w14:paraId="40495CF3">
                  <w:pPr>
                    <w:widowControl/>
                    <w:jc w:val="center"/>
                    <w:textAlignment w:val="center"/>
                    <w:rPr>
                      <w:color w:val="auto"/>
                      <w:kern w:val="0"/>
                      <w:szCs w:val="21"/>
                      <w:highlight w:val="none"/>
                      <w:lang w:bidi="en-AU"/>
                    </w:rPr>
                  </w:pPr>
                  <w:r>
                    <w:rPr>
                      <w:rFonts w:hint="eastAsia"/>
                      <w:color w:val="auto"/>
                      <w:kern w:val="0"/>
                      <w:szCs w:val="21"/>
                      <w:highlight w:val="none"/>
                      <w:lang w:bidi="en-AU"/>
                    </w:rPr>
                    <w:t>/</w:t>
                  </w:r>
                </w:p>
              </w:tc>
              <w:tc>
                <w:tcPr>
                  <w:tcW w:w="777" w:type="dxa"/>
                  <w:shd w:val="clear" w:color="auto" w:fill="auto"/>
                  <w:tcMar>
                    <w:top w:w="15" w:type="dxa"/>
                    <w:left w:w="15" w:type="dxa"/>
                    <w:bottom w:w="0" w:type="dxa"/>
                    <w:right w:w="15" w:type="dxa"/>
                  </w:tcMar>
                  <w:vAlign w:val="center"/>
                </w:tcPr>
                <w:p w14:paraId="7CBC5D78">
                  <w:pPr>
                    <w:widowControl/>
                    <w:jc w:val="center"/>
                    <w:textAlignment w:val="center"/>
                    <w:rPr>
                      <w:color w:val="auto"/>
                      <w:kern w:val="0"/>
                      <w:szCs w:val="21"/>
                      <w:highlight w:val="none"/>
                      <w:lang w:bidi="en-AU"/>
                    </w:rPr>
                  </w:pPr>
                  <w:r>
                    <w:rPr>
                      <w:color w:val="auto"/>
                      <w:kern w:val="0"/>
                      <w:szCs w:val="21"/>
                      <w:highlight w:val="none"/>
                      <w:lang w:bidi="en-AU"/>
                    </w:rPr>
                    <w:t>三级化粪池</w:t>
                  </w:r>
                </w:p>
              </w:tc>
              <w:tc>
                <w:tcPr>
                  <w:tcW w:w="740" w:type="dxa"/>
                  <w:shd w:val="clear" w:color="auto" w:fill="auto"/>
                  <w:tcMar>
                    <w:top w:w="15" w:type="dxa"/>
                    <w:left w:w="15" w:type="dxa"/>
                    <w:bottom w:w="0" w:type="dxa"/>
                    <w:right w:w="15" w:type="dxa"/>
                  </w:tcMar>
                  <w:vAlign w:val="center"/>
                </w:tcPr>
                <w:p w14:paraId="294B0B37">
                  <w:pPr>
                    <w:widowControl/>
                    <w:jc w:val="center"/>
                    <w:textAlignment w:val="center"/>
                    <w:rPr>
                      <w:color w:val="auto"/>
                      <w:szCs w:val="21"/>
                      <w:highlight w:val="none"/>
                    </w:rPr>
                  </w:pPr>
                  <w:r>
                    <w:rPr>
                      <w:color w:val="auto"/>
                      <w:kern w:val="0"/>
                      <w:szCs w:val="21"/>
                      <w:highlight w:val="none"/>
                      <w:lang w:bidi="en-AU"/>
                    </w:rPr>
                    <w:t>三级化粪池</w:t>
                  </w:r>
                </w:p>
              </w:tc>
              <w:tc>
                <w:tcPr>
                  <w:tcW w:w="695" w:type="dxa"/>
                  <w:shd w:val="clear" w:color="auto" w:fill="auto"/>
                  <w:tcMar>
                    <w:top w:w="15" w:type="dxa"/>
                    <w:left w:w="15" w:type="dxa"/>
                    <w:bottom w:w="0" w:type="dxa"/>
                    <w:right w:w="15" w:type="dxa"/>
                  </w:tcMar>
                  <w:vAlign w:val="center"/>
                </w:tcPr>
                <w:p w14:paraId="2FAE241F">
                  <w:pPr>
                    <w:widowControl/>
                    <w:jc w:val="center"/>
                    <w:textAlignment w:val="center"/>
                    <w:rPr>
                      <w:color w:val="auto"/>
                      <w:kern w:val="0"/>
                      <w:szCs w:val="21"/>
                      <w:highlight w:val="none"/>
                      <w:lang w:bidi="en-AU"/>
                    </w:rPr>
                  </w:pPr>
                  <w:r>
                    <w:rPr>
                      <w:color w:val="auto"/>
                      <w:kern w:val="0"/>
                      <w:szCs w:val="21"/>
                      <w:highlight w:val="none"/>
                      <w:lang w:bidi="en-AU"/>
                    </w:rPr>
                    <w:t>DW001</w:t>
                  </w:r>
                </w:p>
              </w:tc>
              <w:tc>
                <w:tcPr>
                  <w:tcW w:w="739" w:type="dxa"/>
                  <w:shd w:val="clear" w:color="auto" w:fill="auto"/>
                  <w:tcMar>
                    <w:top w:w="15" w:type="dxa"/>
                    <w:left w:w="15" w:type="dxa"/>
                    <w:bottom w:w="0" w:type="dxa"/>
                    <w:right w:w="15" w:type="dxa"/>
                  </w:tcMar>
                  <w:vAlign w:val="center"/>
                </w:tcPr>
                <w:p w14:paraId="5A04AD79">
                  <w:pPr>
                    <w:widowControl/>
                    <w:jc w:val="center"/>
                    <w:textAlignment w:val="center"/>
                    <w:rPr>
                      <w:color w:val="auto"/>
                      <w:kern w:val="0"/>
                      <w:szCs w:val="21"/>
                      <w:highlight w:val="none"/>
                      <w:lang w:bidi="en-AU"/>
                    </w:rPr>
                  </w:pPr>
                  <w:r>
                    <w:rPr>
                      <w:color w:val="auto"/>
                      <w:kern w:val="0"/>
                      <w:szCs w:val="21"/>
                      <w:highlight w:val="none"/>
                      <w:lang w:bidi="en-AU"/>
                    </w:rPr>
                    <w:t>☑是</w:t>
                  </w:r>
                </w:p>
                <w:p w14:paraId="496C0483">
                  <w:pPr>
                    <w:widowControl/>
                    <w:jc w:val="center"/>
                    <w:textAlignment w:val="center"/>
                    <w:rPr>
                      <w:color w:val="auto"/>
                      <w:kern w:val="0"/>
                      <w:szCs w:val="21"/>
                      <w:highlight w:val="none"/>
                      <w:lang w:bidi="en-AU"/>
                    </w:rPr>
                  </w:pPr>
                  <w:r>
                    <w:rPr>
                      <w:color w:val="auto"/>
                      <w:kern w:val="0"/>
                      <w:szCs w:val="21"/>
                      <w:highlight w:val="none"/>
                      <w:lang w:bidi="en-AU"/>
                    </w:rPr>
                    <w:t>□否</w:t>
                  </w:r>
                </w:p>
              </w:tc>
              <w:tc>
                <w:tcPr>
                  <w:tcW w:w="1546" w:type="dxa"/>
                  <w:shd w:val="clear" w:color="auto" w:fill="auto"/>
                  <w:tcMar>
                    <w:top w:w="15" w:type="dxa"/>
                    <w:left w:w="15" w:type="dxa"/>
                    <w:bottom w:w="0" w:type="dxa"/>
                    <w:right w:w="15" w:type="dxa"/>
                  </w:tcMar>
                  <w:vAlign w:val="center"/>
                </w:tcPr>
                <w:p w14:paraId="0A76E84B">
                  <w:pPr>
                    <w:widowControl/>
                    <w:jc w:val="center"/>
                    <w:textAlignment w:val="center"/>
                    <w:rPr>
                      <w:color w:val="auto"/>
                      <w:kern w:val="0"/>
                      <w:szCs w:val="21"/>
                      <w:highlight w:val="none"/>
                      <w:lang w:bidi="en-AU"/>
                    </w:rPr>
                  </w:pPr>
                  <w:r>
                    <w:rPr>
                      <w:rFonts w:ascii="Times New Roman" w:hAnsi="Times New Roman" w:eastAsia="宋体" w:cs="Times New Roman"/>
                      <w:color w:val="auto"/>
                      <w:kern w:val="0"/>
                      <w:szCs w:val="21"/>
                      <w:highlight w:val="none"/>
                      <w:lang w:bidi="en-AU"/>
                    </w:rPr>
                    <w:t>☑</w:t>
                  </w:r>
                  <w:r>
                    <w:rPr>
                      <w:color w:val="auto"/>
                      <w:kern w:val="0"/>
                      <w:szCs w:val="21"/>
                      <w:highlight w:val="none"/>
                      <w:lang w:bidi="en-AU"/>
                    </w:rPr>
                    <w:t>企业总排</w:t>
                  </w:r>
                </w:p>
                <w:p w14:paraId="53E741A9">
                  <w:pPr>
                    <w:widowControl/>
                    <w:jc w:val="center"/>
                    <w:textAlignment w:val="center"/>
                    <w:rPr>
                      <w:color w:val="auto"/>
                      <w:kern w:val="0"/>
                      <w:szCs w:val="21"/>
                      <w:highlight w:val="none"/>
                      <w:lang w:bidi="en-AU"/>
                    </w:rPr>
                  </w:pPr>
                  <w:r>
                    <w:rPr>
                      <w:color w:val="auto"/>
                      <w:kern w:val="0"/>
                      <w:szCs w:val="21"/>
                      <w:highlight w:val="none"/>
                      <w:lang w:bidi="en-AU"/>
                    </w:rPr>
                    <w:t>□雨水排放</w:t>
                  </w:r>
                </w:p>
                <w:p w14:paraId="12F93830">
                  <w:pPr>
                    <w:widowControl/>
                    <w:jc w:val="center"/>
                    <w:textAlignment w:val="center"/>
                    <w:rPr>
                      <w:color w:val="auto"/>
                      <w:kern w:val="0"/>
                      <w:szCs w:val="21"/>
                      <w:highlight w:val="none"/>
                      <w:lang w:bidi="en-AU"/>
                    </w:rPr>
                  </w:pPr>
                  <w:r>
                    <w:rPr>
                      <w:color w:val="auto"/>
                      <w:kern w:val="0"/>
                      <w:szCs w:val="21"/>
                      <w:highlight w:val="none"/>
                      <w:lang w:bidi="en-AU"/>
                    </w:rPr>
                    <w:t>□清净下水排放</w:t>
                  </w:r>
                </w:p>
                <w:p w14:paraId="14583BF8">
                  <w:pPr>
                    <w:widowControl/>
                    <w:jc w:val="center"/>
                    <w:textAlignment w:val="center"/>
                    <w:rPr>
                      <w:color w:val="auto"/>
                      <w:kern w:val="0"/>
                      <w:szCs w:val="21"/>
                      <w:highlight w:val="none"/>
                      <w:lang w:bidi="en-AU"/>
                    </w:rPr>
                  </w:pPr>
                  <w:r>
                    <w:rPr>
                      <w:color w:val="auto"/>
                      <w:kern w:val="0"/>
                      <w:szCs w:val="21"/>
                      <w:highlight w:val="none"/>
                      <w:lang w:bidi="en-AU"/>
                    </w:rPr>
                    <w:t>□温排水排放</w:t>
                  </w:r>
                </w:p>
                <w:p w14:paraId="1AA25CA8">
                  <w:pPr>
                    <w:widowControl/>
                    <w:jc w:val="center"/>
                    <w:textAlignment w:val="center"/>
                    <w:rPr>
                      <w:color w:val="auto"/>
                      <w:kern w:val="0"/>
                      <w:szCs w:val="21"/>
                      <w:highlight w:val="none"/>
                      <w:lang w:bidi="en-AU"/>
                    </w:rPr>
                  </w:pPr>
                  <w:r>
                    <w:rPr>
                      <w:color w:val="auto"/>
                      <w:kern w:val="0"/>
                      <w:szCs w:val="21"/>
                      <w:highlight w:val="none"/>
                      <w:lang w:bidi="en-AU"/>
                    </w:rPr>
                    <w:t>□车间或车间处理设施排放口</w:t>
                  </w:r>
                </w:p>
              </w:tc>
            </w:tr>
          </w:tbl>
          <w:p w14:paraId="22EBFA65">
            <w:pPr>
              <w:pStyle w:val="95"/>
              <w:spacing w:before="120"/>
              <w:rPr>
                <w:b/>
                <w:color w:val="auto"/>
                <w:kern w:val="2"/>
                <w:sz w:val="21"/>
                <w:highlight w:val="none"/>
              </w:rPr>
            </w:pPr>
            <w:r>
              <w:rPr>
                <w:b/>
                <w:color w:val="auto"/>
                <w:kern w:val="2"/>
                <w:sz w:val="21"/>
                <w:highlight w:val="none"/>
              </w:rPr>
              <w:t>废水间接排放口基本情况表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256"/>
              <w:gridCol w:w="697"/>
              <w:gridCol w:w="989"/>
              <w:gridCol w:w="898"/>
              <w:gridCol w:w="962"/>
              <w:gridCol w:w="825"/>
              <w:gridCol w:w="688"/>
              <w:gridCol w:w="650"/>
              <w:gridCol w:w="587"/>
              <w:gridCol w:w="656"/>
              <w:gridCol w:w="1634"/>
            </w:tblGrid>
            <w:tr w14:paraId="4FDC5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27" w:hRule="atLeast"/>
                <w:jc w:val="center"/>
              </w:trPr>
              <w:tc>
                <w:tcPr>
                  <w:tcW w:w="256" w:type="dxa"/>
                  <w:vMerge w:val="restart"/>
                  <w:shd w:val="clear" w:color="auto" w:fill="auto"/>
                  <w:tcMar>
                    <w:top w:w="15" w:type="dxa"/>
                    <w:left w:w="15" w:type="dxa"/>
                    <w:bottom w:w="0" w:type="dxa"/>
                    <w:right w:w="15" w:type="dxa"/>
                  </w:tcMar>
                  <w:vAlign w:val="center"/>
                </w:tcPr>
                <w:p w14:paraId="1FDF11CB">
                  <w:pPr>
                    <w:widowControl/>
                    <w:jc w:val="center"/>
                    <w:textAlignment w:val="center"/>
                    <w:rPr>
                      <w:b/>
                      <w:color w:val="auto"/>
                      <w:szCs w:val="21"/>
                      <w:highlight w:val="none"/>
                    </w:rPr>
                  </w:pPr>
                  <w:r>
                    <w:rPr>
                      <w:b/>
                      <w:color w:val="auto"/>
                      <w:kern w:val="0"/>
                      <w:szCs w:val="21"/>
                      <w:highlight w:val="none"/>
                      <w:lang w:bidi="en-AU"/>
                    </w:rPr>
                    <w:t>序号</w:t>
                  </w:r>
                </w:p>
              </w:tc>
              <w:tc>
                <w:tcPr>
                  <w:tcW w:w="697" w:type="dxa"/>
                  <w:vMerge w:val="restart"/>
                  <w:shd w:val="clear" w:color="auto" w:fill="auto"/>
                  <w:tcMar>
                    <w:top w:w="15" w:type="dxa"/>
                    <w:left w:w="15" w:type="dxa"/>
                    <w:bottom w:w="0" w:type="dxa"/>
                    <w:right w:w="15" w:type="dxa"/>
                  </w:tcMar>
                  <w:vAlign w:val="center"/>
                </w:tcPr>
                <w:p w14:paraId="45422AEA">
                  <w:pPr>
                    <w:widowControl/>
                    <w:jc w:val="center"/>
                    <w:textAlignment w:val="center"/>
                    <w:rPr>
                      <w:b/>
                      <w:color w:val="auto"/>
                      <w:szCs w:val="21"/>
                      <w:highlight w:val="none"/>
                    </w:rPr>
                  </w:pPr>
                  <w:r>
                    <w:rPr>
                      <w:b/>
                      <w:color w:val="auto"/>
                      <w:kern w:val="0"/>
                      <w:szCs w:val="21"/>
                      <w:highlight w:val="none"/>
                      <w:lang w:bidi="en-AU"/>
                    </w:rPr>
                    <w:t>排放口编号</w:t>
                  </w:r>
                </w:p>
              </w:tc>
              <w:tc>
                <w:tcPr>
                  <w:tcW w:w="1887" w:type="dxa"/>
                  <w:gridSpan w:val="2"/>
                  <w:shd w:val="clear" w:color="auto" w:fill="auto"/>
                  <w:tcMar>
                    <w:top w:w="15" w:type="dxa"/>
                    <w:left w:w="15" w:type="dxa"/>
                    <w:bottom w:w="0" w:type="dxa"/>
                    <w:right w:w="15" w:type="dxa"/>
                  </w:tcMar>
                  <w:vAlign w:val="center"/>
                </w:tcPr>
                <w:p w14:paraId="16D3405F">
                  <w:pPr>
                    <w:widowControl/>
                    <w:jc w:val="center"/>
                    <w:textAlignment w:val="center"/>
                    <w:rPr>
                      <w:b/>
                      <w:color w:val="auto"/>
                      <w:szCs w:val="21"/>
                      <w:highlight w:val="none"/>
                    </w:rPr>
                  </w:pPr>
                  <w:r>
                    <w:rPr>
                      <w:b/>
                      <w:color w:val="auto"/>
                      <w:kern w:val="0"/>
                      <w:szCs w:val="21"/>
                      <w:highlight w:val="none"/>
                      <w:lang w:bidi="en-AU"/>
                    </w:rPr>
                    <w:t>排放口地理坐标</w:t>
                  </w:r>
                </w:p>
              </w:tc>
              <w:tc>
                <w:tcPr>
                  <w:tcW w:w="962" w:type="dxa"/>
                  <w:vMerge w:val="restart"/>
                  <w:shd w:val="clear" w:color="auto" w:fill="auto"/>
                  <w:tcMar>
                    <w:top w:w="15" w:type="dxa"/>
                    <w:left w:w="15" w:type="dxa"/>
                    <w:bottom w:w="0" w:type="dxa"/>
                    <w:right w:w="15" w:type="dxa"/>
                  </w:tcMar>
                  <w:vAlign w:val="center"/>
                </w:tcPr>
                <w:p w14:paraId="00BFD291">
                  <w:pPr>
                    <w:widowControl/>
                    <w:jc w:val="center"/>
                    <w:textAlignment w:val="center"/>
                    <w:rPr>
                      <w:b/>
                      <w:color w:val="auto"/>
                      <w:szCs w:val="21"/>
                      <w:highlight w:val="none"/>
                    </w:rPr>
                  </w:pPr>
                  <w:r>
                    <w:rPr>
                      <w:b/>
                      <w:color w:val="auto"/>
                      <w:kern w:val="0"/>
                      <w:szCs w:val="21"/>
                      <w:highlight w:val="none"/>
                      <w:lang w:bidi="en-AU"/>
                    </w:rPr>
                    <w:t>废水排放量/（万t/a）</w:t>
                  </w:r>
                </w:p>
              </w:tc>
              <w:tc>
                <w:tcPr>
                  <w:tcW w:w="825" w:type="dxa"/>
                  <w:vMerge w:val="restart"/>
                  <w:shd w:val="clear" w:color="auto" w:fill="auto"/>
                  <w:tcMar>
                    <w:top w:w="15" w:type="dxa"/>
                    <w:left w:w="15" w:type="dxa"/>
                    <w:bottom w:w="0" w:type="dxa"/>
                    <w:right w:w="15" w:type="dxa"/>
                  </w:tcMar>
                  <w:vAlign w:val="center"/>
                </w:tcPr>
                <w:p w14:paraId="64293ADF">
                  <w:pPr>
                    <w:widowControl/>
                    <w:jc w:val="center"/>
                    <w:textAlignment w:val="center"/>
                    <w:rPr>
                      <w:b/>
                      <w:color w:val="auto"/>
                      <w:szCs w:val="21"/>
                      <w:highlight w:val="none"/>
                    </w:rPr>
                  </w:pPr>
                  <w:r>
                    <w:rPr>
                      <w:b/>
                      <w:color w:val="auto"/>
                      <w:kern w:val="0"/>
                      <w:szCs w:val="21"/>
                      <w:highlight w:val="none"/>
                      <w:lang w:bidi="en-AU"/>
                    </w:rPr>
                    <w:t>排放去向</w:t>
                  </w:r>
                </w:p>
              </w:tc>
              <w:tc>
                <w:tcPr>
                  <w:tcW w:w="688" w:type="dxa"/>
                  <w:vMerge w:val="restart"/>
                  <w:shd w:val="clear" w:color="auto" w:fill="auto"/>
                  <w:tcMar>
                    <w:top w:w="15" w:type="dxa"/>
                    <w:left w:w="15" w:type="dxa"/>
                    <w:bottom w:w="0" w:type="dxa"/>
                    <w:right w:w="15" w:type="dxa"/>
                  </w:tcMar>
                  <w:vAlign w:val="center"/>
                </w:tcPr>
                <w:p w14:paraId="71726AD3">
                  <w:pPr>
                    <w:widowControl/>
                    <w:jc w:val="center"/>
                    <w:textAlignment w:val="center"/>
                    <w:rPr>
                      <w:b/>
                      <w:color w:val="auto"/>
                      <w:szCs w:val="21"/>
                      <w:highlight w:val="none"/>
                    </w:rPr>
                  </w:pPr>
                  <w:r>
                    <w:rPr>
                      <w:b/>
                      <w:color w:val="auto"/>
                      <w:kern w:val="0"/>
                      <w:szCs w:val="21"/>
                      <w:highlight w:val="none"/>
                      <w:lang w:bidi="en-AU"/>
                    </w:rPr>
                    <w:t>排放规律</w:t>
                  </w:r>
                </w:p>
              </w:tc>
              <w:tc>
                <w:tcPr>
                  <w:tcW w:w="650" w:type="dxa"/>
                  <w:vMerge w:val="restart"/>
                  <w:shd w:val="clear" w:color="auto" w:fill="auto"/>
                  <w:tcMar>
                    <w:top w:w="15" w:type="dxa"/>
                    <w:left w:w="15" w:type="dxa"/>
                    <w:bottom w:w="0" w:type="dxa"/>
                    <w:right w:w="15" w:type="dxa"/>
                  </w:tcMar>
                  <w:vAlign w:val="center"/>
                </w:tcPr>
                <w:p w14:paraId="07E8C936">
                  <w:pPr>
                    <w:widowControl/>
                    <w:jc w:val="center"/>
                    <w:textAlignment w:val="center"/>
                    <w:rPr>
                      <w:b/>
                      <w:color w:val="auto"/>
                      <w:szCs w:val="21"/>
                      <w:highlight w:val="none"/>
                    </w:rPr>
                  </w:pPr>
                  <w:r>
                    <w:rPr>
                      <w:b/>
                      <w:color w:val="auto"/>
                      <w:kern w:val="0"/>
                      <w:szCs w:val="21"/>
                      <w:highlight w:val="none"/>
                      <w:lang w:bidi="en-AU"/>
                    </w:rPr>
                    <w:t>间歇排放时段</w:t>
                  </w:r>
                </w:p>
              </w:tc>
              <w:tc>
                <w:tcPr>
                  <w:tcW w:w="2877" w:type="dxa"/>
                  <w:gridSpan w:val="3"/>
                  <w:vMerge w:val="restart"/>
                  <w:shd w:val="clear" w:color="auto" w:fill="auto"/>
                  <w:tcMar>
                    <w:top w:w="15" w:type="dxa"/>
                    <w:left w:w="15" w:type="dxa"/>
                    <w:bottom w:w="0" w:type="dxa"/>
                    <w:right w:w="15" w:type="dxa"/>
                  </w:tcMar>
                  <w:vAlign w:val="center"/>
                </w:tcPr>
                <w:p w14:paraId="6AF2110B">
                  <w:pPr>
                    <w:widowControl/>
                    <w:jc w:val="center"/>
                    <w:textAlignment w:val="center"/>
                    <w:rPr>
                      <w:b/>
                      <w:color w:val="auto"/>
                      <w:szCs w:val="21"/>
                      <w:highlight w:val="none"/>
                    </w:rPr>
                  </w:pPr>
                  <w:r>
                    <w:rPr>
                      <w:b/>
                      <w:color w:val="auto"/>
                      <w:kern w:val="0"/>
                      <w:szCs w:val="21"/>
                      <w:highlight w:val="none"/>
                      <w:lang w:bidi="en-AU"/>
                    </w:rPr>
                    <w:t>受纳污水处理厂信息</w:t>
                  </w:r>
                </w:p>
              </w:tc>
            </w:tr>
            <w:tr w14:paraId="2CEFF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12" w:hRule="atLeast"/>
                <w:jc w:val="center"/>
              </w:trPr>
              <w:tc>
                <w:tcPr>
                  <w:tcW w:w="256" w:type="dxa"/>
                  <w:vMerge w:val="continue"/>
                  <w:shd w:val="clear" w:color="auto" w:fill="auto"/>
                  <w:tcMar>
                    <w:top w:w="15" w:type="dxa"/>
                    <w:left w:w="15" w:type="dxa"/>
                    <w:bottom w:w="0" w:type="dxa"/>
                    <w:right w:w="15" w:type="dxa"/>
                  </w:tcMar>
                  <w:vAlign w:val="center"/>
                </w:tcPr>
                <w:p w14:paraId="08BEC3CD">
                  <w:pPr>
                    <w:jc w:val="center"/>
                    <w:rPr>
                      <w:b/>
                      <w:color w:val="auto"/>
                      <w:szCs w:val="21"/>
                      <w:highlight w:val="none"/>
                    </w:rPr>
                  </w:pPr>
                </w:p>
              </w:tc>
              <w:tc>
                <w:tcPr>
                  <w:tcW w:w="697" w:type="dxa"/>
                  <w:vMerge w:val="continue"/>
                  <w:shd w:val="clear" w:color="auto" w:fill="auto"/>
                  <w:tcMar>
                    <w:top w:w="15" w:type="dxa"/>
                    <w:left w:w="15" w:type="dxa"/>
                    <w:bottom w:w="0" w:type="dxa"/>
                    <w:right w:w="15" w:type="dxa"/>
                  </w:tcMar>
                  <w:vAlign w:val="center"/>
                </w:tcPr>
                <w:p w14:paraId="5F0FD9B2">
                  <w:pPr>
                    <w:jc w:val="center"/>
                    <w:rPr>
                      <w:b/>
                      <w:color w:val="auto"/>
                      <w:szCs w:val="21"/>
                      <w:highlight w:val="none"/>
                    </w:rPr>
                  </w:pPr>
                </w:p>
              </w:tc>
              <w:tc>
                <w:tcPr>
                  <w:tcW w:w="989" w:type="dxa"/>
                  <w:vMerge w:val="restart"/>
                  <w:shd w:val="clear" w:color="auto" w:fill="auto"/>
                  <w:tcMar>
                    <w:top w:w="15" w:type="dxa"/>
                    <w:left w:w="15" w:type="dxa"/>
                    <w:bottom w:w="0" w:type="dxa"/>
                    <w:right w:w="15" w:type="dxa"/>
                  </w:tcMar>
                  <w:vAlign w:val="center"/>
                </w:tcPr>
                <w:p w14:paraId="21C323EB">
                  <w:pPr>
                    <w:widowControl/>
                    <w:jc w:val="center"/>
                    <w:textAlignment w:val="center"/>
                    <w:rPr>
                      <w:b/>
                      <w:color w:val="auto"/>
                      <w:szCs w:val="21"/>
                      <w:highlight w:val="none"/>
                    </w:rPr>
                  </w:pPr>
                  <w:r>
                    <w:rPr>
                      <w:b/>
                      <w:color w:val="auto"/>
                      <w:kern w:val="0"/>
                      <w:szCs w:val="21"/>
                      <w:highlight w:val="none"/>
                      <w:lang w:bidi="en-AU"/>
                    </w:rPr>
                    <w:t>经度</w:t>
                  </w:r>
                </w:p>
              </w:tc>
              <w:tc>
                <w:tcPr>
                  <w:tcW w:w="898" w:type="dxa"/>
                  <w:vMerge w:val="restart"/>
                  <w:shd w:val="clear" w:color="auto" w:fill="auto"/>
                  <w:tcMar>
                    <w:top w:w="15" w:type="dxa"/>
                    <w:left w:w="15" w:type="dxa"/>
                    <w:bottom w:w="0" w:type="dxa"/>
                    <w:right w:w="15" w:type="dxa"/>
                  </w:tcMar>
                  <w:vAlign w:val="center"/>
                </w:tcPr>
                <w:p w14:paraId="08081D7B">
                  <w:pPr>
                    <w:widowControl/>
                    <w:jc w:val="center"/>
                    <w:textAlignment w:val="center"/>
                    <w:rPr>
                      <w:b/>
                      <w:color w:val="auto"/>
                      <w:szCs w:val="21"/>
                      <w:highlight w:val="none"/>
                    </w:rPr>
                  </w:pPr>
                  <w:r>
                    <w:rPr>
                      <w:b/>
                      <w:color w:val="auto"/>
                      <w:kern w:val="0"/>
                      <w:szCs w:val="21"/>
                      <w:highlight w:val="none"/>
                      <w:lang w:bidi="en-AU"/>
                    </w:rPr>
                    <w:t>纬度</w:t>
                  </w:r>
                </w:p>
              </w:tc>
              <w:tc>
                <w:tcPr>
                  <w:tcW w:w="962" w:type="dxa"/>
                  <w:vMerge w:val="continue"/>
                  <w:shd w:val="clear" w:color="auto" w:fill="auto"/>
                  <w:tcMar>
                    <w:top w:w="15" w:type="dxa"/>
                    <w:left w:w="15" w:type="dxa"/>
                    <w:bottom w:w="0" w:type="dxa"/>
                    <w:right w:w="15" w:type="dxa"/>
                  </w:tcMar>
                  <w:vAlign w:val="center"/>
                </w:tcPr>
                <w:p w14:paraId="1AB27C87">
                  <w:pPr>
                    <w:jc w:val="center"/>
                    <w:rPr>
                      <w:b/>
                      <w:color w:val="auto"/>
                      <w:szCs w:val="21"/>
                      <w:highlight w:val="none"/>
                    </w:rPr>
                  </w:pPr>
                </w:p>
              </w:tc>
              <w:tc>
                <w:tcPr>
                  <w:tcW w:w="825" w:type="dxa"/>
                  <w:vMerge w:val="continue"/>
                  <w:shd w:val="clear" w:color="auto" w:fill="auto"/>
                  <w:tcMar>
                    <w:top w:w="15" w:type="dxa"/>
                    <w:left w:w="15" w:type="dxa"/>
                    <w:bottom w:w="0" w:type="dxa"/>
                    <w:right w:w="15" w:type="dxa"/>
                  </w:tcMar>
                  <w:vAlign w:val="center"/>
                </w:tcPr>
                <w:p w14:paraId="400357A7">
                  <w:pPr>
                    <w:jc w:val="center"/>
                    <w:rPr>
                      <w:b/>
                      <w:color w:val="auto"/>
                      <w:szCs w:val="21"/>
                      <w:highlight w:val="none"/>
                    </w:rPr>
                  </w:pPr>
                </w:p>
              </w:tc>
              <w:tc>
                <w:tcPr>
                  <w:tcW w:w="688" w:type="dxa"/>
                  <w:vMerge w:val="continue"/>
                  <w:shd w:val="clear" w:color="auto" w:fill="auto"/>
                  <w:tcMar>
                    <w:top w:w="15" w:type="dxa"/>
                    <w:left w:w="15" w:type="dxa"/>
                    <w:bottom w:w="0" w:type="dxa"/>
                    <w:right w:w="15" w:type="dxa"/>
                  </w:tcMar>
                  <w:vAlign w:val="center"/>
                </w:tcPr>
                <w:p w14:paraId="15CC8374">
                  <w:pPr>
                    <w:jc w:val="center"/>
                    <w:rPr>
                      <w:b/>
                      <w:color w:val="auto"/>
                      <w:szCs w:val="21"/>
                      <w:highlight w:val="none"/>
                    </w:rPr>
                  </w:pPr>
                </w:p>
              </w:tc>
              <w:tc>
                <w:tcPr>
                  <w:tcW w:w="650" w:type="dxa"/>
                  <w:vMerge w:val="continue"/>
                  <w:shd w:val="clear" w:color="auto" w:fill="auto"/>
                  <w:tcMar>
                    <w:top w:w="15" w:type="dxa"/>
                    <w:left w:w="15" w:type="dxa"/>
                    <w:bottom w:w="0" w:type="dxa"/>
                    <w:right w:w="15" w:type="dxa"/>
                  </w:tcMar>
                  <w:vAlign w:val="center"/>
                </w:tcPr>
                <w:p w14:paraId="435EFDD7">
                  <w:pPr>
                    <w:jc w:val="center"/>
                    <w:rPr>
                      <w:b/>
                      <w:color w:val="auto"/>
                      <w:szCs w:val="21"/>
                      <w:highlight w:val="none"/>
                    </w:rPr>
                  </w:pPr>
                </w:p>
              </w:tc>
              <w:tc>
                <w:tcPr>
                  <w:tcW w:w="2877" w:type="dxa"/>
                  <w:gridSpan w:val="3"/>
                  <w:vMerge w:val="continue"/>
                  <w:shd w:val="clear" w:color="auto" w:fill="auto"/>
                  <w:tcMar>
                    <w:top w:w="15" w:type="dxa"/>
                    <w:left w:w="15" w:type="dxa"/>
                    <w:bottom w:w="0" w:type="dxa"/>
                    <w:right w:w="15" w:type="dxa"/>
                  </w:tcMar>
                  <w:vAlign w:val="center"/>
                </w:tcPr>
                <w:p w14:paraId="13EB95D5">
                  <w:pPr>
                    <w:jc w:val="center"/>
                    <w:rPr>
                      <w:b/>
                      <w:color w:val="auto"/>
                      <w:szCs w:val="21"/>
                      <w:highlight w:val="none"/>
                    </w:rPr>
                  </w:pPr>
                </w:p>
              </w:tc>
            </w:tr>
            <w:tr w14:paraId="33216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87" w:hRule="atLeast"/>
                <w:jc w:val="center"/>
              </w:trPr>
              <w:tc>
                <w:tcPr>
                  <w:tcW w:w="256" w:type="dxa"/>
                  <w:vMerge w:val="continue"/>
                  <w:shd w:val="clear" w:color="auto" w:fill="auto"/>
                  <w:tcMar>
                    <w:top w:w="15" w:type="dxa"/>
                    <w:left w:w="15" w:type="dxa"/>
                    <w:bottom w:w="0" w:type="dxa"/>
                    <w:right w:w="15" w:type="dxa"/>
                  </w:tcMar>
                  <w:vAlign w:val="center"/>
                </w:tcPr>
                <w:p w14:paraId="6CF8E024">
                  <w:pPr>
                    <w:jc w:val="center"/>
                    <w:rPr>
                      <w:b/>
                      <w:color w:val="auto"/>
                      <w:szCs w:val="21"/>
                      <w:highlight w:val="none"/>
                    </w:rPr>
                  </w:pPr>
                </w:p>
              </w:tc>
              <w:tc>
                <w:tcPr>
                  <w:tcW w:w="697" w:type="dxa"/>
                  <w:vMerge w:val="continue"/>
                  <w:shd w:val="clear" w:color="auto" w:fill="auto"/>
                  <w:tcMar>
                    <w:top w:w="15" w:type="dxa"/>
                    <w:left w:w="15" w:type="dxa"/>
                    <w:bottom w:w="0" w:type="dxa"/>
                    <w:right w:w="15" w:type="dxa"/>
                  </w:tcMar>
                  <w:vAlign w:val="center"/>
                </w:tcPr>
                <w:p w14:paraId="5071E51A">
                  <w:pPr>
                    <w:jc w:val="center"/>
                    <w:rPr>
                      <w:b/>
                      <w:color w:val="auto"/>
                      <w:szCs w:val="21"/>
                      <w:highlight w:val="none"/>
                    </w:rPr>
                  </w:pPr>
                </w:p>
              </w:tc>
              <w:tc>
                <w:tcPr>
                  <w:tcW w:w="989" w:type="dxa"/>
                  <w:vMerge w:val="continue"/>
                  <w:shd w:val="clear" w:color="auto" w:fill="auto"/>
                  <w:tcMar>
                    <w:top w:w="15" w:type="dxa"/>
                    <w:left w:w="15" w:type="dxa"/>
                    <w:bottom w:w="0" w:type="dxa"/>
                    <w:right w:w="15" w:type="dxa"/>
                  </w:tcMar>
                  <w:vAlign w:val="center"/>
                </w:tcPr>
                <w:p w14:paraId="3AF02127">
                  <w:pPr>
                    <w:jc w:val="center"/>
                    <w:rPr>
                      <w:b/>
                      <w:color w:val="auto"/>
                      <w:szCs w:val="21"/>
                      <w:highlight w:val="none"/>
                    </w:rPr>
                  </w:pPr>
                </w:p>
              </w:tc>
              <w:tc>
                <w:tcPr>
                  <w:tcW w:w="898" w:type="dxa"/>
                  <w:vMerge w:val="continue"/>
                  <w:shd w:val="clear" w:color="auto" w:fill="auto"/>
                  <w:tcMar>
                    <w:top w:w="15" w:type="dxa"/>
                    <w:left w:w="15" w:type="dxa"/>
                    <w:bottom w:w="0" w:type="dxa"/>
                    <w:right w:w="15" w:type="dxa"/>
                  </w:tcMar>
                  <w:vAlign w:val="center"/>
                </w:tcPr>
                <w:p w14:paraId="420E6429">
                  <w:pPr>
                    <w:jc w:val="center"/>
                    <w:rPr>
                      <w:b/>
                      <w:color w:val="auto"/>
                      <w:szCs w:val="21"/>
                      <w:highlight w:val="none"/>
                    </w:rPr>
                  </w:pPr>
                </w:p>
              </w:tc>
              <w:tc>
                <w:tcPr>
                  <w:tcW w:w="962" w:type="dxa"/>
                  <w:vMerge w:val="continue"/>
                  <w:shd w:val="clear" w:color="auto" w:fill="auto"/>
                  <w:tcMar>
                    <w:top w:w="15" w:type="dxa"/>
                    <w:left w:w="15" w:type="dxa"/>
                    <w:bottom w:w="0" w:type="dxa"/>
                    <w:right w:w="15" w:type="dxa"/>
                  </w:tcMar>
                  <w:vAlign w:val="center"/>
                </w:tcPr>
                <w:p w14:paraId="12DC8F24">
                  <w:pPr>
                    <w:jc w:val="center"/>
                    <w:rPr>
                      <w:b/>
                      <w:color w:val="auto"/>
                      <w:szCs w:val="21"/>
                      <w:highlight w:val="none"/>
                    </w:rPr>
                  </w:pPr>
                </w:p>
              </w:tc>
              <w:tc>
                <w:tcPr>
                  <w:tcW w:w="825" w:type="dxa"/>
                  <w:vMerge w:val="continue"/>
                  <w:shd w:val="clear" w:color="auto" w:fill="auto"/>
                  <w:tcMar>
                    <w:top w:w="15" w:type="dxa"/>
                    <w:left w:w="15" w:type="dxa"/>
                    <w:bottom w:w="0" w:type="dxa"/>
                    <w:right w:w="15" w:type="dxa"/>
                  </w:tcMar>
                  <w:vAlign w:val="center"/>
                </w:tcPr>
                <w:p w14:paraId="586034E7">
                  <w:pPr>
                    <w:jc w:val="center"/>
                    <w:rPr>
                      <w:b/>
                      <w:color w:val="auto"/>
                      <w:szCs w:val="21"/>
                      <w:highlight w:val="none"/>
                    </w:rPr>
                  </w:pPr>
                </w:p>
              </w:tc>
              <w:tc>
                <w:tcPr>
                  <w:tcW w:w="688" w:type="dxa"/>
                  <w:vMerge w:val="continue"/>
                  <w:shd w:val="clear" w:color="auto" w:fill="auto"/>
                  <w:tcMar>
                    <w:top w:w="15" w:type="dxa"/>
                    <w:left w:w="15" w:type="dxa"/>
                    <w:bottom w:w="0" w:type="dxa"/>
                    <w:right w:w="15" w:type="dxa"/>
                  </w:tcMar>
                  <w:vAlign w:val="center"/>
                </w:tcPr>
                <w:p w14:paraId="7AC551ED">
                  <w:pPr>
                    <w:jc w:val="center"/>
                    <w:rPr>
                      <w:b/>
                      <w:color w:val="auto"/>
                      <w:szCs w:val="21"/>
                      <w:highlight w:val="none"/>
                    </w:rPr>
                  </w:pPr>
                </w:p>
              </w:tc>
              <w:tc>
                <w:tcPr>
                  <w:tcW w:w="650" w:type="dxa"/>
                  <w:vMerge w:val="continue"/>
                  <w:shd w:val="clear" w:color="auto" w:fill="auto"/>
                  <w:tcMar>
                    <w:top w:w="15" w:type="dxa"/>
                    <w:left w:w="15" w:type="dxa"/>
                    <w:bottom w:w="0" w:type="dxa"/>
                    <w:right w:w="15" w:type="dxa"/>
                  </w:tcMar>
                  <w:vAlign w:val="center"/>
                </w:tcPr>
                <w:p w14:paraId="5D4B9170">
                  <w:pPr>
                    <w:jc w:val="center"/>
                    <w:rPr>
                      <w:b/>
                      <w:color w:val="auto"/>
                      <w:szCs w:val="21"/>
                      <w:highlight w:val="none"/>
                    </w:rPr>
                  </w:pPr>
                </w:p>
              </w:tc>
              <w:tc>
                <w:tcPr>
                  <w:tcW w:w="587" w:type="dxa"/>
                  <w:shd w:val="clear" w:color="auto" w:fill="auto"/>
                  <w:tcMar>
                    <w:top w:w="15" w:type="dxa"/>
                    <w:left w:w="15" w:type="dxa"/>
                    <w:bottom w:w="0" w:type="dxa"/>
                    <w:right w:w="15" w:type="dxa"/>
                  </w:tcMar>
                  <w:vAlign w:val="center"/>
                </w:tcPr>
                <w:p w14:paraId="472221C5">
                  <w:pPr>
                    <w:widowControl/>
                    <w:jc w:val="center"/>
                    <w:textAlignment w:val="center"/>
                    <w:rPr>
                      <w:b/>
                      <w:color w:val="auto"/>
                      <w:szCs w:val="21"/>
                      <w:highlight w:val="none"/>
                    </w:rPr>
                  </w:pPr>
                  <w:r>
                    <w:rPr>
                      <w:b/>
                      <w:color w:val="auto"/>
                      <w:kern w:val="0"/>
                      <w:szCs w:val="21"/>
                      <w:highlight w:val="none"/>
                      <w:lang w:bidi="en-AU"/>
                    </w:rPr>
                    <w:t>名称</w:t>
                  </w:r>
                </w:p>
              </w:tc>
              <w:tc>
                <w:tcPr>
                  <w:tcW w:w="656" w:type="dxa"/>
                  <w:shd w:val="clear" w:color="auto" w:fill="auto"/>
                  <w:tcMar>
                    <w:top w:w="15" w:type="dxa"/>
                    <w:left w:w="15" w:type="dxa"/>
                    <w:bottom w:w="0" w:type="dxa"/>
                    <w:right w:w="15" w:type="dxa"/>
                  </w:tcMar>
                  <w:vAlign w:val="center"/>
                </w:tcPr>
                <w:p w14:paraId="732980F1">
                  <w:pPr>
                    <w:widowControl/>
                    <w:jc w:val="center"/>
                    <w:textAlignment w:val="center"/>
                    <w:rPr>
                      <w:b/>
                      <w:color w:val="auto"/>
                      <w:szCs w:val="21"/>
                      <w:highlight w:val="none"/>
                    </w:rPr>
                  </w:pPr>
                  <w:r>
                    <w:rPr>
                      <w:b/>
                      <w:color w:val="auto"/>
                      <w:kern w:val="0"/>
                      <w:szCs w:val="21"/>
                      <w:highlight w:val="none"/>
                      <w:lang w:bidi="en-AU"/>
                    </w:rPr>
                    <w:t>污染物种类</w:t>
                  </w:r>
                </w:p>
              </w:tc>
              <w:tc>
                <w:tcPr>
                  <w:tcW w:w="1634" w:type="dxa"/>
                  <w:shd w:val="clear" w:color="auto" w:fill="auto"/>
                  <w:tcMar>
                    <w:top w:w="15" w:type="dxa"/>
                    <w:left w:w="15" w:type="dxa"/>
                    <w:bottom w:w="0" w:type="dxa"/>
                    <w:right w:w="15" w:type="dxa"/>
                  </w:tcMar>
                  <w:vAlign w:val="center"/>
                </w:tcPr>
                <w:p w14:paraId="7ACE1876">
                  <w:pPr>
                    <w:widowControl/>
                    <w:jc w:val="center"/>
                    <w:textAlignment w:val="center"/>
                    <w:rPr>
                      <w:b/>
                      <w:color w:val="auto"/>
                      <w:szCs w:val="21"/>
                      <w:highlight w:val="none"/>
                    </w:rPr>
                  </w:pPr>
                  <w:r>
                    <w:rPr>
                      <w:b/>
                      <w:color w:val="auto"/>
                      <w:kern w:val="0"/>
                      <w:szCs w:val="21"/>
                      <w:highlight w:val="none"/>
                      <w:lang w:bidi="en-AU"/>
                    </w:rPr>
                    <w:t>国家或地方污染物排放标准浓度限值/(mg/L)</w:t>
                  </w:r>
                </w:p>
              </w:tc>
            </w:tr>
            <w:tr w14:paraId="7F47E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665" w:hRule="atLeast"/>
                <w:jc w:val="center"/>
              </w:trPr>
              <w:tc>
                <w:tcPr>
                  <w:tcW w:w="256" w:type="dxa"/>
                  <w:shd w:val="clear" w:color="auto" w:fill="auto"/>
                  <w:tcMar>
                    <w:top w:w="15" w:type="dxa"/>
                    <w:left w:w="15" w:type="dxa"/>
                    <w:bottom w:w="0" w:type="dxa"/>
                    <w:right w:w="15" w:type="dxa"/>
                  </w:tcMar>
                  <w:vAlign w:val="center"/>
                </w:tcPr>
                <w:p w14:paraId="2289B005">
                  <w:pPr>
                    <w:widowControl/>
                    <w:jc w:val="center"/>
                    <w:textAlignment w:val="center"/>
                    <w:rPr>
                      <w:color w:val="auto"/>
                      <w:szCs w:val="21"/>
                      <w:highlight w:val="none"/>
                    </w:rPr>
                  </w:pPr>
                  <w:r>
                    <w:rPr>
                      <w:color w:val="auto"/>
                      <w:kern w:val="0"/>
                      <w:szCs w:val="21"/>
                      <w:highlight w:val="none"/>
                      <w:lang w:bidi="en-AU"/>
                    </w:rPr>
                    <w:t>1</w:t>
                  </w:r>
                </w:p>
              </w:tc>
              <w:tc>
                <w:tcPr>
                  <w:tcW w:w="697" w:type="dxa"/>
                  <w:shd w:val="clear" w:color="auto" w:fill="auto"/>
                  <w:tcMar>
                    <w:top w:w="15" w:type="dxa"/>
                    <w:left w:w="15" w:type="dxa"/>
                    <w:bottom w:w="0" w:type="dxa"/>
                    <w:right w:w="15" w:type="dxa"/>
                  </w:tcMar>
                  <w:vAlign w:val="center"/>
                </w:tcPr>
                <w:p w14:paraId="3D06BA3F">
                  <w:pPr>
                    <w:widowControl/>
                    <w:jc w:val="center"/>
                    <w:textAlignment w:val="center"/>
                    <w:rPr>
                      <w:color w:val="auto"/>
                      <w:szCs w:val="21"/>
                      <w:highlight w:val="none"/>
                    </w:rPr>
                  </w:pPr>
                  <w:r>
                    <w:rPr>
                      <w:color w:val="auto"/>
                      <w:kern w:val="0"/>
                      <w:szCs w:val="21"/>
                      <w:highlight w:val="none"/>
                      <w:lang w:bidi="en-AU"/>
                    </w:rPr>
                    <w:t>DW001</w:t>
                  </w:r>
                </w:p>
              </w:tc>
              <w:tc>
                <w:tcPr>
                  <w:tcW w:w="989" w:type="dxa"/>
                  <w:shd w:val="clear" w:color="auto" w:fill="auto"/>
                  <w:tcMar>
                    <w:top w:w="15" w:type="dxa"/>
                    <w:left w:w="15" w:type="dxa"/>
                    <w:bottom w:w="0" w:type="dxa"/>
                    <w:right w:w="15" w:type="dxa"/>
                  </w:tcMar>
                  <w:vAlign w:val="center"/>
                </w:tcPr>
                <w:p w14:paraId="122F7902">
                  <w:pPr>
                    <w:widowControl/>
                    <w:jc w:val="center"/>
                    <w:textAlignment w:val="center"/>
                    <w:rPr>
                      <w:color w:val="auto"/>
                      <w:kern w:val="0"/>
                      <w:szCs w:val="21"/>
                      <w:highlight w:val="none"/>
                      <w:lang w:bidi="en-AU"/>
                    </w:rPr>
                  </w:pPr>
                  <w:r>
                    <w:rPr>
                      <w:rFonts w:hint="eastAsia"/>
                      <w:color w:val="auto"/>
                      <w:kern w:val="0"/>
                      <w:szCs w:val="21"/>
                      <w:highlight w:val="none"/>
                      <w:lang w:bidi="en-AU"/>
                    </w:rPr>
                    <w:t>113.257050</w:t>
                  </w:r>
                </w:p>
              </w:tc>
              <w:tc>
                <w:tcPr>
                  <w:tcW w:w="898" w:type="dxa"/>
                  <w:shd w:val="clear" w:color="auto" w:fill="auto"/>
                  <w:tcMar>
                    <w:top w:w="15" w:type="dxa"/>
                    <w:left w:w="15" w:type="dxa"/>
                    <w:bottom w:w="0" w:type="dxa"/>
                    <w:right w:w="15" w:type="dxa"/>
                  </w:tcMar>
                  <w:vAlign w:val="center"/>
                </w:tcPr>
                <w:p w14:paraId="64377806">
                  <w:pPr>
                    <w:widowControl/>
                    <w:jc w:val="center"/>
                    <w:textAlignment w:val="center"/>
                    <w:rPr>
                      <w:color w:val="auto"/>
                      <w:kern w:val="0"/>
                      <w:szCs w:val="21"/>
                      <w:highlight w:val="none"/>
                      <w:lang w:bidi="en-AU"/>
                    </w:rPr>
                  </w:pPr>
                  <w:r>
                    <w:rPr>
                      <w:rFonts w:hint="eastAsia"/>
                      <w:color w:val="auto"/>
                      <w:kern w:val="0"/>
                      <w:szCs w:val="21"/>
                      <w:highlight w:val="none"/>
                      <w:lang w:bidi="en-AU"/>
                    </w:rPr>
                    <w:t>22.722438</w:t>
                  </w:r>
                </w:p>
              </w:tc>
              <w:tc>
                <w:tcPr>
                  <w:tcW w:w="962" w:type="dxa"/>
                  <w:shd w:val="clear" w:color="auto" w:fill="auto"/>
                  <w:tcMar>
                    <w:top w:w="15" w:type="dxa"/>
                    <w:left w:w="15" w:type="dxa"/>
                    <w:bottom w:w="0" w:type="dxa"/>
                    <w:right w:w="15" w:type="dxa"/>
                  </w:tcMar>
                  <w:vAlign w:val="center"/>
                </w:tcPr>
                <w:p w14:paraId="5CEC8910">
                  <w:pPr>
                    <w:widowControl/>
                    <w:jc w:val="center"/>
                    <w:textAlignment w:val="center"/>
                    <w:rPr>
                      <w:rFonts w:hint="default" w:eastAsia="宋体"/>
                      <w:color w:val="auto"/>
                      <w:szCs w:val="21"/>
                      <w:highlight w:val="none"/>
                      <w:lang w:val="en-US" w:eastAsia="zh-CN"/>
                    </w:rPr>
                  </w:pPr>
                  <w:r>
                    <w:rPr>
                      <w:color w:val="auto"/>
                      <w:kern w:val="0"/>
                      <w:szCs w:val="21"/>
                      <w:highlight w:val="none"/>
                      <w:lang w:bidi="en-AU"/>
                    </w:rPr>
                    <w:t>0.</w:t>
                  </w:r>
                  <w:r>
                    <w:rPr>
                      <w:rFonts w:hint="eastAsia"/>
                      <w:color w:val="auto"/>
                      <w:kern w:val="0"/>
                      <w:szCs w:val="21"/>
                      <w:highlight w:val="none"/>
                      <w:lang w:val="en-US" w:eastAsia="zh-CN" w:bidi="en-AU"/>
                    </w:rPr>
                    <w:t>1512</w:t>
                  </w:r>
                </w:p>
              </w:tc>
              <w:tc>
                <w:tcPr>
                  <w:tcW w:w="825" w:type="dxa"/>
                  <w:shd w:val="clear" w:color="auto" w:fill="auto"/>
                  <w:tcMar>
                    <w:top w:w="15" w:type="dxa"/>
                    <w:left w:w="15" w:type="dxa"/>
                    <w:bottom w:w="0" w:type="dxa"/>
                    <w:right w:w="15" w:type="dxa"/>
                  </w:tcMar>
                  <w:vAlign w:val="center"/>
                </w:tcPr>
                <w:p w14:paraId="45BEB1A1">
                  <w:pPr>
                    <w:widowControl/>
                    <w:jc w:val="center"/>
                    <w:textAlignment w:val="center"/>
                    <w:rPr>
                      <w:rFonts w:hint="eastAsia" w:eastAsia="宋体"/>
                      <w:color w:val="auto"/>
                      <w:szCs w:val="21"/>
                      <w:highlight w:val="none"/>
                      <w:lang w:eastAsia="zh-CN"/>
                    </w:rPr>
                  </w:pPr>
                  <w:r>
                    <w:rPr>
                      <w:color w:val="auto"/>
                      <w:kern w:val="0"/>
                      <w:szCs w:val="21"/>
                      <w:highlight w:val="none"/>
                      <w:lang w:bidi="en-AU"/>
                    </w:rPr>
                    <w:t>经三级化粪池预处理后进入</w:t>
                  </w:r>
                  <w:r>
                    <w:rPr>
                      <w:rFonts w:hint="eastAsia"/>
                      <w:color w:val="auto"/>
                      <w:kern w:val="0"/>
                      <w:szCs w:val="21"/>
                      <w:highlight w:val="none"/>
                      <w:lang w:eastAsia="zh-CN" w:bidi="en-AU"/>
                    </w:rPr>
                    <w:t>中山市东凤镇污水处理有限责任公司</w:t>
                  </w:r>
                </w:p>
              </w:tc>
              <w:tc>
                <w:tcPr>
                  <w:tcW w:w="688" w:type="dxa"/>
                  <w:shd w:val="clear" w:color="auto" w:fill="auto"/>
                  <w:tcMar>
                    <w:top w:w="15" w:type="dxa"/>
                    <w:left w:w="15" w:type="dxa"/>
                    <w:bottom w:w="0" w:type="dxa"/>
                    <w:right w:w="15" w:type="dxa"/>
                  </w:tcMar>
                  <w:vAlign w:val="center"/>
                </w:tcPr>
                <w:p w14:paraId="407CF46C">
                  <w:pPr>
                    <w:widowControl/>
                    <w:jc w:val="center"/>
                    <w:textAlignment w:val="center"/>
                    <w:rPr>
                      <w:color w:val="auto"/>
                      <w:szCs w:val="21"/>
                      <w:highlight w:val="none"/>
                    </w:rPr>
                  </w:pPr>
                  <w:r>
                    <w:rPr>
                      <w:color w:val="auto"/>
                      <w:kern w:val="0"/>
                      <w:szCs w:val="21"/>
                      <w:highlight w:val="none"/>
                      <w:lang w:bidi="en-AU"/>
                    </w:rPr>
                    <w:t>间断排放，排放期间流量稳定</w:t>
                  </w:r>
                </w:p>
              </w:tc>
              <w:tc>
                <w:tcPr>
                  <w:tcW w:w="650" w:type="dxa"/>
                  <w:shd w:val="clear" w:color="auto" w:fill="auto"/>
                  <w:tcMar>
                    <w:top w:w="15" w:type="dxa"/>
                    <w:left w:w="15" w:type="dxa"/>
                    <w:bottom w:w="0" w:type="dxa"/>
                    <w:right w:w="15" w:type="dxa"/>
                  </w:tcMar>
                  <w:vAlign w:val="center"/>
                </w:tcPr>
                <w:p w14:paraId="6F668AA5">
                  <w:pPr>
                    <w:widowControl/>
                    <w:jc w:val="center"/>
                    <w:textAlignment w:val="center"/>
                    <w:rPr>
                      <w:color w:val="auto"/>
                      <w:szCs w:val="21"/>
                      <w:highlight w:val="none"/>
                    </w:rPr>
                  </w:pPr>
                  <w:r>
                    <w:rPr>
                      <w:color w:val="auto"/>
                      <w:kern w:val="0"/>
                      <w:szCs w:val="21"/>
                      <w:highlight w:val="none"/>
                      <w:lang w:bidi="en-AU"/>
                    </w:rPr>
                    <w:t>/</w:t>
                  </w:r>
                </w:p>
              </w:tc>
              <w:tc>
                <w:tcPr>
                  <w:tcW w:w="587" w:type="dxa"/>
                  <w:shd w:val="clear" w:color="auto" w:fill="auto"/>
                  <w:tcMar>
                    <w:top w:w="15" w:type="dxa"/>
                    <w:left w:w="15" w:type="dxa"/>
                    <w:bottom w:w="0" w:type="dxa"/>
                    <w:right w:w="15" w:type="dxa"/>
                  </w:tcMar>
                  <w:vAlign w:val="center"/>
                </w:tcPr>
                <w:p w14:paraId="660464D1">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Cs w:val="21"/>
                      <w:highlight w:val="none"/>
                      <w:lang w:eastAsia="zh-CN" w:bidi="en-AU"/>
                    </w:rPr>
                    <w:t>中山市东凤镇污水处理有限责任公司</w:t>
                  </w:r>
                </w:p>
              </w:tc>
              <w:tc>
                <w:tcPr>
                  <w:tcW w:w="656" w:type="dxa"/>
                  <w:shd w:val="clear" w:color="auto" w:fill="auto"/>
                  <w:tcMar>
                    <w:top w:w="15" w:type="dxa"/>
                    <w:left w:w="15" w:type="dxa"/>
                    <w:bottom w:w="0" w:type="dxa"/>
                    <w:right w:w="15" w:type="dxa"/>
                  </w:tcMar>
                  <w:vAlign w:val="center"/>
                </w:tcPr>
                <w:p w14:paraId="0441B2B3">
                  <w:pPr>
                    <w:widowControl/>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Cs w:val="21"/>
                      <w:highlight w:val="none"/>
                      <w:lang w:bidi="en-AU"/>
                    </w:rPr>
                    <w:t>CODcr、BOD</w:t>
                  </w:r>
                  <w:r>
                    <w:rPr>
                      <w:rStyle w:val="83"/>
                      <w:rFonts w:hint="default" w:ascii="Times New Roman" w:hAnsi="Times New Roman" w:eastAsia="宋体" w:cs="Times New Roman"/>
                      <w:color w:val="auto"/>
                      <w:highlight w:val="none"/>
                      <w:vertAlign w:val="subscript"/>
                      <w:lang w:bidi="en-AU"/>
                    </w:rPr>
                    <w:t>5</w:t>
                  </w:r>
                  <w:r>
                    <w:rPr>
                      <w:rFonts w:hint="default" w:ascii="Times New Roman" w:hAnsi="Times New Roman" w:eastAsia="宋体" w:cs="Times New Roman"/>
                      <w:color w:val="auto"/>
                      <w:kern w:val="0"/>
                      <w:szCs w:val="21"/>
                      <w:highlight w:val="none"/>
                      <w:lang w:bidi="en-AU"/>
                    </w:rPr>
                    <w:t>、SS及氨氮</w:t>
                  </w:r>
                </w:p>
              </w:tc>
              <w:tc>
                <w:tcPr>
                  <w:tcW w:w="1634" w:type="dxa"/>
                  <w:shd w:val="clear" w:color="auto" w:fill="auto"/>
                  <w:tcMar>
                    <w:top w:w="15" w:type="dxa"/>
                    <w:left w:w="15" w:type="dxa"/>
                    <w:bottom w:w="0" w:type="dxa"/>
                    <w:right w:w="15" w:type="dxa"/>
                  </w:tcMar>
                  <w:vAlign w:val="center"/>
                </w:tcPr>
                <w:p w14:paraId="11A1B560">
                  <w:pPr>
                    <w:widowControl/>
                    <w:jc w:val="center"/>
                    <w:textAlignment w:val="center"/>
                    <w:rPr>
                      <w:rFonts w:hint="eastAsia"/>
                      <w:color w:val="auto"/>
                      <w:lang w:eastAsia="zh-CN"/>
                    </w:rPr>
                  </w:pPr>
                  <w:r>
                    <w:rPr>
                      <w:rFonts w:hint="default"/>
                      <w:color w:val="auto"/>
                    </w:rPr>
                    <w:t>CODcr≤40mg/L，BOD5≤10mg/L，SS≤10mg/L，NH3-N≤5mg/L</w:t>
                  </w:r>
                  <w:r>
                    <w:rPr>
                      <w:rFonts w:hint="eastAsia"/>
                      <w:color w:val="auto"/>
                      <w:lang w:eastAsia="zh-CN"/>
                    </w:rPr>
                    <w:t>，</w:t>
                  </w:r>
                </w:p>
                <w:p w14:paraId="1B00AB12">
                  <w:pPr>
                    <w:pStyle w:val="26"/>
                    <w:rPr>
                      <w:rFonts w:hint="default"/>
                      <w:color w:val="auto"/>
                      <w:lang w:val="en-US" w:eastAsia="zh-CN"/>
                    </w:rPr>
                  </w:pPr>
                  <w:r>
                    <w:rPr>
                      <w:rFonts w:hint="eastAsia"/>
                      <w:color w:val="auto"/>
                      <w:lang w:val="en-US" w:eastAsia="zh-CN"/>
                    </w:rPr>
                    <w:t>pH值6-9。</w:t>
                  </w:r>
                </w:p>
              </w:tc>
            </w:tr>
          </w:tbl>
          <w:p w14:paraId="4D63AA2F">
            <w:pPr>
              <w:pStyle w:val="95"/>
              <w:spacing w:before="120"/>
              <w:rPr>
                <w:b/>
                <w:color w:val="auto"/>
                <w:kern w:val="2"/>
                <w:sz w:val="21"/>
                <w:highlight w:val="none"/>
              </w:rPr>
            </w:pPr>
            <w:r>
              <w:rPr>
                <w:b/>
                <w:color w:val="auto"/>
                <w:kern w:val="2"/>
                <w:sz w:val="21"/>
                <w:highlight w:val="none"/>
              </w:rPr>
              <w:t>废水污染物排放执行标准表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60"/>
              <w:gridCol w:w="1127"/>
              <w:gridCol w:w="959"/>
              <w:gridCol w:w="4396"/>
              <w:gridCol w:w="1815"/>
            </w:tblGrid>
            <w:tr w14:paraId="1F43A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60" w:type="dxa"/>
                  <w:vMerge w:val="restart"/>
                  <w:shd w:val="clear" w:color="auto" w:fill="auto"/>
                  <w:vAlign w:val="center"/>
                </w:tcPr>
                <w:p w14:paraId="1580E4D2">
                  <w:pPr>
                    <w:pStyle w:val="95"/>
                    <w:numPr>
                      <w:ilvl w:val="0"/>
                      <w:numId w:val="0"/>
                    </w:numPr>
                    <w:spacing w:before="0"/>
                    <w:rPr>
                      <w:b/>
                      <w:color w:val="auto"/>
                      <w:kern w:val="2"/>
                      <w:sz w:val="21"/>
                      <w:highlight w:val="none"/>
                    </w:rPr>
                  </w:pPr>
                  <w:r>
                    <w:rPr>
                      <w:b/>
                      <w:color w:val="auto"/>
                      <w:kern w:val="2"/>
                      <w:sz w:val="21"/>
                      <w:highlight w:val="none"/>
                    </w:rPr>
                    <w:t>序号</w:t>
                  </w:r>
                </w:p>
              </w:tc>
              <w:tc>
                <w:tcPr>
                  <w:tcW w:w="1127" w:type="dxa"/>
                  <w:vMerge w:val="restart"/>
                  <w:shd w:val="clear" w:color="auto" w:fill="auto"/>
                  <w:vAlign w:val="center"/>
                </w:tcPr>
                <w:p w14:paraId="362B6629">
                  <w:pPr>
                    <w:pStyle w:val="95"/>
                    <w:numPr>
                      <w:ilvl w:val="0"/>
                      <w:numId w:val="0"/>
                    </w:numPr>
                    <w:spacing w:before="0"/>
                    <w:rPr>
                      <w:b/>
                      <w:color w:val="auto"/>
                      <w:kern w:val="2"/>
                      <w:sz w:val="21"/>
                      <w:highlight w:val="none"/>
                    </w:rPr>
                  </w:pPr>
                  <w:r>
                    <w:rPr>
                      <w:b/>
                      <w:color w:val="auto"/>
                      <w:kern w:val="2"/>
                      <w:sz w:val="21"/>
                      <w:highlight w:val="none"/>
                    </w:rPr>
                    <w:t>排放口编号</w:t>
                  </w:r>
                </w:p>
              </w:tc>
              <w:tc>
                <w:tcPr>
                  <w:tcW w:w="959" w:type="dxa"/>
                  <w:vMerge w:val="restart"/>
                  <w:shd w:val="clear" w:color="auto" w:fill="auto"/>
                  <w:vAlign w:val="center"/>
                </w:tcPr>
                <w:p w14:paraId="0BD0E398">
                  <w:pPr>
                    <w:pStyle w:val="95"/>
                    <w:numPr>
                      <w:ilvl w:val="0"/>
                      <w:numId w:val="0"/>
                    </w:numPr>
                    <w:spacing w:before="0"/>
                    <w:rPr>
                      <w:b/>
                      <w:color w:val="auto"/>
                      <w:kern w:val="2"/>
                      <w:sz w:val="21"/>
                      <w:highlight w:val="none"/>
                    </w:rPr>
                  </w:pPr>
                  <w:r>
                    <w:rPr>
                      <w:b/>
                      <w:color w:val="auto"/>
                      <w:kern w:val="2"/>
                      <w:sz w:val="21"/>
                      <w:highlight w:val="none"/>
                    </w:rPr>
                    <w:t>污染物种类</w:t>
                  </w:r>
                </w:p>
              </w:tc>
              <w:tc>
                <w:tcPr>
                  <w:tcW w:w="6211" w:type="dxa"/>
                  <w:gridSpan w:val="2"/>
                  <w:shd w:val="clear" w:color="auto" w:fill="auto"/>
                  <w:vAlign w:val="center"/>
                </w:tcPr>
                <w:p w14:paraId="6689777E">
                  <w:pPr>
                    <w:pStyle w:val="95"/>
                    <w:numPr>
                      <w:ilvl w:val="0"/>
                      <w:numId w:val="0"/>
                    </w:numPr>
                    <w:spacing w:before="0"/>
                    <w:rPr>
                      <w:b/>
                      <w:color w:val="auto"/>
                      <w:kern w:val="2"/>
                      <w:sz w:val="21"/>
                      <w:highlight w:val="none"/>
                    </w:rPr>
                  </w:pPr>
                  <w:r>
                    <w:rPr>
                      <w:b/>
                      <w:color w:val="auto"/>
                      <w:kern w:val="2"/>
                      <w:sz w:val="21"/>
                      <w:highlight w:val="none"/>
                    </w:rPr>
                    <w:t>国家或地方污染物排放标准及其他按规定商定的排放协议</w:t>
                  </w:r>
                </w:p>
              </w:tc>
            </w:tr>
            <w:tr w14:paraId="09F76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60" w:type="dxa"/>
                  <w:vMerge w:val="continue"/>
                  <w:shd w:val="clear" w:color="auto" w:fill="auto"/>
                  <w:vAlign w:val="center"/>
                </w:tcPr>
                <w:p w14:paraId="4D8995CD">
                  <w:pPr>
                    <w:pStyle w:val="95"/>
                    <w:numPr>
                      <w:ilvl w:val="0"/>
                      <w:numId w:val="0"/>
                    </w:numPr>
                    <w:spacing w:before="0"/>
                    <w:rPr>
                      <w:b/>
                      <w:color w:val="auto"/>
                      <w:kern w:val="2"/>
                      <w:sz w:val="21"/>
                      <w:highlight w:val="none"/>
                    </w:rPr>
                  </w:pPr>
                </w:p>
              </w:tc>
              <w:tc>
                <w:tcPr>
                  <w:tcW w:w="1127" w:type="dxa"/>
                  <w:vMerge w:val="continue"/>
                  <w:shd w:val="clear" w:color="auto" w:fill="auto"/>
                  <w:vAlign w:val="center"/>
                </w:tcPr>
                <w:p w14:paraId="530C02D2">
                  <w:pPr>
                    <w:pStyle w:val="95"/>
                    <w:numPr>
                      <w:ilvl w:val="0"/>
                      <w:numId w:val="0"/>
                    </w:numPr>
                    <w:spacing w:before="0"/>
                    <w:rPr>
                      <w:b/>
                      <w:color w:val="auto"/>
                      <w:kern w:val="2"/>
                      <w:sz w:val="21"/>
                      <w:highlight w:val="none"/>
                    </w:rPr>
                  </w:pPr>
                </w:p>
              </w:tc>
              <w:tc>
                <w:tcPr>
                  <w:tcW w:w="959" w:type="dxa"/>
                  <w:vMerge w:val="continue"/>
                  <w:shd w:val="clear" w:color="auto" w:fill="auto"/>
                  <w:vAlign w:val="center"/>
                </w:tcPr>
                <w:p w14:paraId="649FA2A5">
                  <w:pPr>
                    <w:pStyle w:val="95"/>
                    <w:numPr>
                      <w:ilvl w:val="0"/>
                      <w:numId w:val="0"/>
                    </w:numPr>
                    <w:spacing w:before="0"/>
                    <w:rPr>
                      <w:b/>
                      <w:color w:val="auto"/>
                      <w:kern w:val="2"/>
                      <w:sz w:val="21"/>
                      <w:highlight w:val="none"/>
                    </w:rPr>
                  </w:pPr>
                </w:p>
              </w:tc>
              <w:tc>
                <w:tcPr>
                  <w:tcW w:w="4396" w:type="dxa"/>
                  <w:shd w:val="clear" w:color="auto" w:fill="auto"/>
                  <w:vAlign w:val="center"/>
                </w:tcPr>
                <w:p w14:paraId="16F0DFE1">
                  <w:pPr>
                    <w:pStyle w:val="95"/>
                    <w:numPr>
                      <w:ilvl w:val="0"/>
                      <w:numId w:val="0"/>
                    </w:numPr>
                    <w:spacing w:before="0"/>
                    <w:rPr>
                      <w:b/>
                      <w:color w:val="auto"/>
                      <w:kern w:val="2"/>
                      <w:sz w:val="21"/>
                      <w:highlight w:val="none"/>
                    </w:rPr>
                  </w:pPr>
                  <w:r>
                    <w:rPr>
                      <w:b/>
                      <w:color w:val="auto"/>
                      <w:kern w:val="2"/>
                      <w:sz w:val="21"/>
                      <w:highlight w:val="none"/>
                    </w:rPr>
                    <w:t>名称</w:t>
                  </w:r>
                </w:p>
              </w:tc>
              <w:tc>
                <w:tcPr>
                  <w:tcW w:w="1815" w:type="dxa"/>
                  <w:shd w:val="clear" w:color="auto" w:fill="auto"/>
                  <w:vAlign w:val="center"/>
                </w:tcPr>
                <w:p w14:paraId="6D07D414">
                  <w:pPr>
                    <w:pStyle w:val="95"/>
                    <w:numPr>
                      <w:ilvl w:val="0"/>
                      <w:numId w:val="0"/>
                    </w:numPr>
                    <w:spacing w:before="0"/>
                    <w:rPr>
                      <w:b/>
                      <w:color w:val="auto"/>
                      <w:kern w:val="2"/>
                      <w:sz w:val="21"/>
                      <w:highlight w:val="none"/>
                    </w:rPr>
                  </w:pPr>
                  <w:r>
                    <w:rPr>
                      <w:b/>
                      <w:color w:val="auto"/>
                      <w:kern w:val="2"/>
                      <w:sz w:val="21"/>
                      <w:highlight w:val="none"/>
                    </w:rPr>
                    <w:t>浓度限值/(mg/L）</w:t>
                  </w:r>
                </w:p>
              </w:tc>
            </w:tr>
            <w:tr w14:paraId="636C1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0" w:hRule="atLeast"/>
                <w:jc w:val="center"/>
              </w:trPr>
              <w:tc>
                <w:tcPr>
                  <w:tcW w:w="560" w:type="dxa"/>
                  <w:vMerge w:val="restart"/>
                  <w:shd w:val="clear" w:color="auto" w:fill="auto"/>
                  <w:vAlign w:val="center"/>
                </w:tcPr>
                <w:p w14:paraId="7E316E9F">
                  <w:pPr>
                    <w:pStyle w:val="95"/>
                    <w:numPr>
                      <w:ilvl w:val="0"/>
                      <w:numId w:val="0"/>
                    </w:numPr>
                    <w:spacing w:before="0"/>
                    <w:rPr>
                      <w:bCs/>
                      <w:color w:val="auto"/>
                      <w:kern w:val="2"/>
                      <w:sz w:val="21"/>
                      <w:highlight w:val="none"/>
                    </w:rPr>
                  </w:pPr>
                  <w:r>
                    <w:rPr>
                      <w:bCs/>
                      <w:color w:val="auto"/>
                      <w:kern w:val="2"/>
                      <w:sz w:val="21"/>
                      <w:highlight w:val="none"/>
                    </w:rPr>
                    <w:t>1</w:t>
                  </w:r>
                </w:p>
              </w:tc>
              <w:tc>
                <w:tcPr>
                  <w:tcW w:w="1127" w:type="dxa"/>
                  <w:vMerge w:val="restart"/>
                  <w:shd w:val="clear" w:color="auto" w:fill="auto"/>
                  <w:vAlign w:val="center"/>
                </w:tcPr>
                <w:p w14:paraId="093B706F">
                  <w:pPr>
                    <w:pStyle w:val="95"/>
                    <w:numPr>
                      <w:ilvl w:val="0"/>
                      <w:numId w:val="0"/>
                    </w:numPr>
                    <w:spacing w:before="0"/>
                    <w:rPr>
                      <w:bCs/>
                      <w:color w:val="auto"/>
                      <w:kern w:val="2"/>
                      <w:sz w:val="21"/>
                      <w:highlight w:val="none"/>
                    </w:rPr>
                  </w:pPr>
                  <w:r>
                    <w:rPr>
                      <w:bCs/>
                      <w:color w:val="auto"/>
                      <w:kern w:val="2"/>
                      <w:sz w:val="21"/>
                      <w:highlight w:val="none"/>
                    </w:rPr>
                    <w:t>DW001</w:t>
                  </w:r>
                </w:p>
              </w:tc>
              <w:tc>
                <w:tcPr>
                  <w:tcW w:w="959" w:type="dxa"/>
                  <w:vMerge w:val="restart"/>
                  <w:shd w:val="clear" w:color="auto" w:fill="auto"/>
                  <w:vAlign w:val="center"/>
                </w:tcPr>
                <w:p w14:paraId="54B65652">
                  <w:pPr>
                    <w:pStyle w:val="95"/>
                    <w:numPr>
                      <w:ilvl w:val="0"/>
                      <w:numId w:val="0"/>
                    </w:numPr>
                    <w:spacing w:before="0"/>
                    <w:rPr>
                      <w:bCs/>
                      <w:color w:val="auto"/>
                      <w:kern w:val="2"/>
                      <w:sz w:val="21"/>
                      <w:highlight w:val="none"/>
                    </w:rPr>
                  </w:pPr>
                  <w:r>
                    <w:rPr>
                      <w:bCs/>
                      <w:color w:val="auto"/>
                      <w:kern w:val="2"/>
                      <w:sz w:val="21"/>
                      <w:highlight w:val="none"/>
                    </w:rPr>
                    <w:t>生活污水</w:t>
                  </w:r>
                </w:p>
              </w:tc>
              <w:tc>
                <w:tcPr>
                  <w:tcW w:w="4396" w:type="dxa"/>
                  <w:vMerge w:val="restart"/>
                  <w:shd w:val="clear" w:color="auto" w:fill="auto"/>
                  <w:vAlign w:val="center"/>
                </w:tcPr>
                <w:p w14:paraId="705C1877">
                  <w:pPr>
                    <w:pStyle w:val="95"/>
                    <w:numPr>
                      <w:ilvl w:val="0"/>
                      <w:numId w:val="0"/>
                    </w:numPr>
                    <w:spacing w:before="0"/>
                    <w:rPr>
                      <w:bCs/>
                      <w:color w:val="auto"/>
                      <w:kern w:val="2"/>
                      <w:sz w:val="21"/>
                      <w:highlight w:val="none"/>
                    </w:rPr>
                  </w:pPr>
                  <w:r>
                    <w:rPr>
                      <w:bCs/>
                      <w:color w:val="auto"/>
                      <w:kern w:val="2"/>
                      <w:sz w:val="21"/>
                      <w:highlight w:val="none"/>
                    </w:rPr>
                    <w:t>广东省《水污染物排放限值》(DB44/26-2001)第二时段三级标准</w:t>
                  </w:r>
                </w:p>
              </w:tc>
              <w:tc>
                <w:tcPr>
                  <w:tcW w:w="1815" w:type="dxa"/>
                  <w:shd w:val="clear" w:color="auto" w:fill="auto"/>
                  <w:vAlign w:val="center"/>
                </w:tcPr>
                <w:p w14:paraId="003A7322">
                  <w:pPr>
                    <w:pStyle w:val="95"/>
                    <w:numPr>
                      <w:ilvl w:val="0"/>
                      <w:numId w:val="0"/>
                    </w:numPr>
                    <w:spacing w:before="0"/>
                    <w:rPr>
                      <w:bCs/>
                      <w:color w:val="auto"/>
                      <w:kern w:val="2"/>
                      <w:sz w:val="21"/>
                      <w:highlight w:val="none"/>
                    </w:rPr>
                  </w:pPr>
                  <w:r>
                    <w:rPr>
                      <w:bCs/>
                      <w:color w:val="auto"/>
                      <w:kern w:val="2"/>
                      <w:sz w:val="21"/>
                      <w:highlight w:val="none"/>
                    </w:rPr>
                    <w:t>CODcr≤500mg/L</w:t>
                  </w:r>
                </w:p>
              </w:tc>
            </w:tr>
            <w:tr w14:paraId="75BAB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60" w:type="dxa"/>
                  <w:vMerge w:val="continue"/>
                  <w:shd w:val="clear" w:color="auto" w:fill="auto"/>
                  <w:vAlign w:val="center"/>
                </w:tcPr>
                <w:p w14:paraId="64503391">
                  <w:pPr>
                    <w:pStyle w:val="95"/>
                    <w:numPr>
                      <w:ilvl w:val="0"/>
                      <w:numId w:val="0"/>
                    </w:numPr>
                    <w:spacing w:before="0"/>
                    <w:rPr>
                      <w:bCs/>
                      <w:color w:val="auto"/>
                      <w:kern w:val="2"/>
                      <w:sz w:val="21"/>
                      <w:highlight w:val="none"/>
                    </w:rPr>
                  </w:pPr>
                </w:p>
              </w:tc>
              <w:tc>
                <w:tcPr>
                  <w:tcW w:w="1127" w:type="dxa"/>
                  <w:vMerge w:val="continue"/>
                  <w:shd w:val="clear" w:color="auto" w:fill="auto"/>
                  <w:vAlign w:val="center"/>
                </w:tcPr>
                <w:p w14:paraId="093CE465">
                  <w:pPr>
                    <w:pStyle w:val="95"/>
                    <w:numPr>
                      <w:ilvl w:val="0"/>
                      <w:numId w:val="0"/>
                    </w:numPr>
                    <w:spacing w:before="0"/>
                    <w:rPr>
                      <w:bCs/>
                      <w:color w:val="auto"/>
                      <w:kern w:val="2"/>
                      <w:sz w:val="21"/>
                      <w:highlight w:val="none"/>
                    </w:rPr>
                  </w:pPr>
                </w:p>
              </w:tc>
              <w:tc>
                <w:tcPr>
                  <w:tcW w:w="959" w:type="dxa"/>
                  <w:vMerge w:val="continue"/>
                  <w:shd w:val="clear" w:color="auto" w:fill="auto"/>
                  <w:vAlign w:val="center"/>
                </w:tcPr>
                <w:p w14:paraId="4D0C5654">
                  <w:pPr>
                    <w:pStyle w:val="95"/>
                    <w:numPr>
                      <w:ilvl w:val="0"/>
                      <w:numId w:val="0"/>
                    </w:numPr>
                    <w:spacing w:before="0"/>
                    <w:rPr>
                      <w:bCs/>
                      <w:color w:val="auto"/>
                      <w:kern w:val="2"/>
                      <w:sz w:val="21"/>
                      <w:highlight w:val="none"/>
                    </w:rPr>
                  </w:pPr>
                </w:p>
              </w:tc>
              <w:tc>
                <w:tcPr>
                  <w:tcW w:w="4396" w:type="dxa"/>
                  <w:vMerge w:val="continue"/>
                  <w:shd w:val="clear" w:color="auto" w:fill="auto"/>
                  <w:vAlign w:val="center"/>
                </w:tcPr>
                <w:p w14:paraId="1935CFA5">
                  <w:pPr>
                    <w:pStyle w:val="95"/>
                    <w:numPr>
                      <w:ilvl w:val="0"/>
                      <w:numId w:val="0"/>
                    </w:numPr>
                    <w:spacing w:before="0"/>
                    <w:rPr>
                      <w:bCs/>
                      <w:color w:val="auto"/>
                      <w:kern w:val="2"/>
                      <w:sz w:val="21"/>
                      <w:highlight w:val="none"/>
                    </w:rPr>
                  </w:pPr>
                </w:p>
              </w:tc>
              <w:tc>
                <w:tcPr>
                  <w:tcW w:w="1815" w:type="dxa"/>
                  <w:shd w:val="clear" w:color="auto" w:fill="auto"/>
                  <w:vAlign w:val="center"/>
                </w:tcPr>
                <w:p w14:paraId="6FCFCCEF">
                  <w:pPr>
                    <w:pStyle w:val="95"/>
                    <w:numPr>
                      <w:ilvl w:val="0"/>
                      <w:numId w:val="0"/>
                    </w:numPr>
                    <w:spacing w:before="0"/>
                    <w:rPr>
                      <w:bCs/>
                      <w:color w:val="auto"/>
                      <w:kern w:val="2"/>
                      <w:sz w:val="21"/>
                      <w:highlight w:val="none"/>
                    </w:rPr>
                  </w:pPr>
                  <w:r>
                    <w:rPr>
                      <w:bCs/>
                      <w:color w:val="auto"/>
                      <w:kern w:val="2"/>
                      <w:sz w:val="21"/>
                      <w:highlight w:val="none"/>
                    </w:rPr>
                    <w:t>BOD</w:t>
                  </w:r>
                  <w:r>
                    <w:rPr>
                      <w:bCs/>
                      <w:color w:val="auto"/>
                      <w:kern w:val="2"/>
                      <w:sz w:val="21"/>
                      <w:highlight w:val="none"/>
                      <w:vertAlign w:val="subscript"/>
                    </w:rPr>
                    <w:t>5</w:t>
                  </w:r>
                  <w:r>
                    <w:rPr>
                      <w:bCs/>
                      <w:color w:val="auto"/>
                      <w:kern w:val="2"/>
                      <w:sz w:val="21"/>
                      <w:highlight w:val="none"/>
                    </w:rPr>
                    <w:t>≤300mg/L</w:t>
                  </w:r>
                </w:p>
              </w:tc>
            </w:tr>
            <w:tr w14:paraId="61854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560" w:type="dxa"/>
                  <w:vMerge w:val="continue"/>
                  <w:shd w:val="clear" w:color="auto" w:fill="auto"/>
                  <w:vAlign w:val="center"/>
                </w:tcPr>
                <w:p w14:paraId="58C61D41">
                  <w:pPr>
                    <w:pStyle w:val="95"/>
                    <w:numPr>
                      <w:ilvl w:val="0"/>
                      <w:numId w:val="0"/>
                    </w:numPr>
                    <w:spacing w:before="0"/>
                    <w:rPr>
                      <w:bCs/>
                      <w:color w:val="auto"/>
                      <w:kern w:val="2"/>
                      <w:sz w:val="21"/>
                      <w:highlight w:val="none"/>
                    </w:rPr>
                  </w:pPr>
                </w:p>
              </w:tc>
              <w:tc>
                <w:tcPr>
                  <w:tcW w:w="1127" w:type="dxa"/>
                  <w:vMerge w:val="continue"/>
                  <w:shd w:val="clear" w:color="auto" w:fill="auto"/>
                  <w:vAlign w:val="center"/>
                </w:tcPr>
                <w:p w14:paraId="0E9073A0">
                  <w:pPr>
                    <w:pStyle w:val="95"/>
                    <w:numPr>
                      <w:ilvl w:val="0"/>
                      <w:numId w:val="0"/>
                    </w:numPr>
                    <w:spacing w:before="0"/>
                    <w:rPr>
                      <w:bCs/>
                      <w:color w:val="auto"/>
                      <w:kern w:val="2"/>
                      <w:sz w:val="21"/>
                      <w:highlight w:val="none"/>
                    </w:rPr>
                  </w:pPr>
                </w:p>
              </w:tc>
              <w:tc>
                <w:tcPr>
                  <w:tcW w:w="959" w:type="dxa"/>
                  <w:vMerge w:val="continue"/>
                  <w:shd w:val="clear" w:color="auto" w:fill="auto"/>
                  <w:vAlign w:val="center"/>
                </w:tcPr>
                <w:p w14:paraId="5C0A271D">
                  <w:pPr>
                    <w:pStyle w:val="95"/>
                    <w:numPr>
                      <w:ilvl w:val="0"/>
                      <w:numId w:val="0"/>
                    </w:numPr>
                    <w:spacing w:before="0"/>
                    <w:rPr>
                      <w:bCs/>
                      <w:color w:val="auto"/>
                      <w:kern w:val="2"/>
                      <w:sz w:val="21"/>
                      <w:highlight w:val="none"/>
                    </w:rPr>
                  </w:pPr>
                </w:p>
              </w:tc>
              <w:tc>
                <w:tcPr>
                  <w:tcW w:w="4396" w:type="dxa"/>
                  <w:vMerge w:val="continue"/>
                  <w:shd w:val="clear" w:color="auto" w:fill="auto"/>
                  <w:vAlign w:val="center"/>
                </w:tcPr>
                <w:p w14:paraId="305B4154">
                  <w:pPr>
                    <w:pStyle w:val="95"/>
                    <w:numPr>
                      <w:ilvl w:val="0"/>
                      <w:numId w:val="0"/>
                    </w:numPr>
                    <w:spacing w:before="0"/>
                    <w:rPr>
                      <w:bCs/>
                      <w:color w:val="auto"/>
                      <w:kern w:val="2"/>
                      <w:sz w:val="21"/>
                      <w:highlight w:val="none"/>
                    </w:rPr>
                  </w:pPr>
                </w:p>
              </w:tc>
              <w:tc>
                <w:tcPr>
                  <w:tcW w:w="1815" w:type="dxa"/>
                  <w:shd w:val="clear" w:color="auto" w:fill="auto"/>
                  <w:vAlign w:val="center"/>
                </w:tcPr>
                <w:p w14:paraId="7E05B7F8">
                  <w:pPr>
                    <w:pStyle w:val="95"/>
                    <w:numPr>
                      <w:ilvl w:val="0"/>
                      <w:numId w:val="0"/>
                    </w:numPr>
                    <w:spacing w:before="0"/>
                    <w:rPr>
                      <w:bCs/>
                      <w:color w:val="auto"/>
                      <w:kern w:val="2"/>
                      <w:sz w:val="21"/>
                      <w:highlight w:val="none"/>
                    </w:rPr>
                  </w:pPr>
                  <w:r>
                    <w:rPr>
                      <w:bCs/>
                      <w:color w:val="auto"/>
                      <w:kern w:val="2"/>
                      <w:sz w:val="21"/>
                      <w:highlight w:val="none"/>
                    </w:rPr>
                    <w:t>SS≤400mg/L</w:t>
                  </w:r>
                </w:p>
              </w:tc>
            </w:tr>
            <w:tr w14:paraId="7E98D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0" w:type="dxa"/>
                  <w:vMerge w:val="continue"/>
                  <w:shd w:val="clear" w:color="auto" w:fill="auto"/>
                  <w:vAlign w:val="center"/>
                </w:tcPr>
                <w:p w14:paraId="4D322495">
                  <w:pPr>
                    <w:pStyle w:val="95"/>
                    <w:numPr>
                      <w:ilvl w:val="0"/>
                      <w:numId w:val="0"/>
                    </w:numPr>
                    <w:spacing w:before="0"/>
                    <w:rPr>
                      <w:bCs/>
                      <w:color w:val="auto"/>
                      <w:kern w:val="2"/>
                      <w:sz w:val="21"/>
                      <w:highlight w:val="none"/>
                    </w:rPr>
                  </w:pPr>
                </w:p>
              </w:tc>
              <w:tc>
                <w:tcPr>
                  <w:tcW w:w="1127" w:type="dxa"/>
                  <w:vMerge w:val="continue"/>
                  <w:shd w:val="clear" w:color="auto" w:fill="auto"/>
                  <w:vAlign w:val="center"/>
                </w:tcPr>
                <w:p w14:paraId="683FEF48">
                  <w:pPr>
                    <w:pStyle w:val="95"/>
                    <w:numPr>
                      <w:ilvl w:val="0"/>
                      <w:numId w:val="0"/>
                    </w:numPr>
                    <w:spacing w:before="0"/>
                    <w:rPr>
                      <w:bCs/>
                      <w:color w:val="auto"/>
                      <w:kern w:val="2"/>
                      <w:sz w:val="21"/>
                      <w:highlight w:val="none"/>
                    </w:rPr>
                  </w:pPr>
                </w:p>
              </w:tc>
              <w:tc>
                <w:tcPr>
                  <w:tcW w:w="959" w:type="dxa"/>
                  <w:vMerge w:val="continue"/>
                  <w:shd w:val="clear" w:color="auto" w:fill="auto"/>
                  <w:vAlign w:val="center"/>
                </w:tcPr>
                <w:p w14:paraId="02B49272">
                  <w:pPr>
                    <w:pStyle w:val="95"/>
                    <w:numPr>
                      <w:ilvl w:val="0"/>
                      <w:numId w:val="0"/>
                    </w:numPr>
                    <w:spacing w:before="0"/>
                    <w:rPr>
                      <w:bCs/>
                      <w:color w:val="auto"/>
                      <w:kern w:val="2"/>
                      <w:sz w:val="21"/>
                      <w:highlight w:val="none"/>
                    </w:rPr>
                  </w:pPr>
                </w:p>
              </w:tc>
              <w:tc>
                <w:tcPr>
                  <w:tcW w:w="4396" w:type="dxa"/>
                  <w:vMerge w:val="continue"/>
                  <w:shd w:val="clear" w:color="auto" w:fill="auto"/>
                  <w:vAlign w:val="center"/>
                </w:tcPr>
                <w:p w14:paraId="36F19627">
                  <w:pPr>
                    <w:pStyle w:val="95"/>
                    <w:numPr>
                      <w:ilvl w:val="0"/>
                      <w:numId w:val="0"/>
                    </w:numPr>
                    <w:spacing w:before="0"/>
                    <w:rPr>
                      <w:bCs/>
                      <w:color w:val="auto"/>
                      <w:kern w:val="2"/>
                      <w:sz w:val="21"/>
                      <w:highlight w:val="none"/>
                    </w:rPr>
                  </w:pPr>
                </w:p>
              </w:tc>
              <w:tc>
                <w:tcPr>
                  <w:tcW w:w="1815" w:type="dxa"/>
                  <w:shd w:val="clear" w:color="auto" w:fill="auto"/>
                  <w:vAlign w:val="center"/>
                </w:tcPr>
                <w:p w14:paraId="26355FA8">
                  <w:pPr>
                    <w:pStyle w:val="95"/>
                    <w:numPr>
                      <w:ilvl w:val="0"/>
                      <w:numId w:val="0"/>
                    </w:numPr>
                    <w:spacing w:before="0"/>
                    <w:rPr>
                      <w:bCs/>
                      <w:color w:val="auto"/>
                      <w:kern w:val="2"/>
                      <w:sz w:val="21"/>
                      <w:highlight w:val="none"/>
                    </w:rPr>
                  </w:pPr>
                  <w:r>
                    <w:rPr>
                      <w:bCs/>
                      <w:color w:val="auto"/>
                      <w:kern w:val="2"/>
                      <w:sz w:val="21"/>
                      <w:highlight w:val="none"/>
                    </w:rPr>
                    <w:t>NH</w:t>
                  </w:r>
                  <w:r>
                    <w:rPr>
                      <w:bCs/>
                      <w:color w:val="auto"/>
                      <w:kern w:val="2"/>
                      <w:sz w:val="21"/>
                      <w:highlight w:val="none"/>
                      <w:vertAlign w:val="subscript"/>
                    </w:rPr>
                    <w:t>3</w:t>
                  </w:r>
                  <w:r>
                    <w:rPr>
                      <w:bCs/>
                      <w:color w:val="auto"/>
                      <w:kern w:val="2"/>
                      <w:sz w:val="21"/>
                      <w:highlight w:val="none"/>
                    </w:rPr>
                    <w:t>-N≤--mg/L</w:t>
                  </w:r>
                </w:p>
              </w:tc>
            </w:tr>
          </w:tbl>
          <w:p w14:paraId="07671A10">
            <w:pPr>
              <w:pStyle w:val="95"/>
              <w:spacing w:before="120"/>
              <w:rPr>
                <w:b/>
                <w:color w:val="auto"/>
                <w:kern w:val="2"/>
                <w:sz w:val="21"/>
                <w:highlight w:val="none"/>
              </w:rPr>
            </w:pPr>
            <w:r>
              <w:rPr>
                <w:b/>
                <w:color w:val="auto"/>
                <w:kern w:val="2"/>
                <w:sz w:val="21"/>
                <w:highlight w:val="none"/>
              </w:rPr>
              <w:t>废水污染物排放信息表（新建项目）</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54"/>
              <w:gridCol w:w="1653"/>
              <w:gridCol w:w="1096"/>
              <w:gridCol w:w="1632"/>
              <w:gridCol w:w="1257"/>
              <w:gridCol w:w="1386"/>
              <w:gridCol w:w="1264"/>
            </w:tblGrid>
            <w:tr w14:paraId="1A1CF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3" w:type="pct"/>
                  <w:shd w:val="clear" w:color="auto" w:fill="auto"/>
                  <w:vAlign w:val="center"/>
                </w:tcPr>
                <w:p w14:paraId="6E82C6CC">
                  <w:pPr>
                    <w:pStyle w:val="95"/>
                    <w:numPr>
                      <w:ilvl w:val="0"/>
                      <w:numId w:val="0"/>
                    </w:numPr>
                    <w:spacing w:before="0"/>
                    <w:rPr>
                      <w:b/>
                      <w:color w:val="auto"/>
                      <w:kern w:val="2"/>
                      <w:sz w:val="21"/>
                      <w:highlight w:val="none"/>
                    </w:rPr>
                  </w:pPr>
                  <w:r>
                    <w:rPr>
                      <w:b/>
                      <w:color w:val="auto"/>
                      <w:kern w:val="2"/>
                      <w:sz w:val="21"/>
                      <w:highlight w:val="none"/>
                    </w:rPr>
                    <w:t>序号</w:t>
                  </w:r>
                </w:p>
              </w:tc>
              <w:tc>
                <w:tcPr>
                  <w:tcW w:w="934" w:type="pct"/>
                  <w:shd w:val="clear" w:color="auto" w:fill="auto"/>
                  <w:vAlign w:val="center"/>
                </w:tcPr>
                <w:p w14:paraId="7248AAD2">
                  <w:pPr>
                    <w:pStyle w:val="95"/>
                    <w:numPr>
                      <w:ilvl w:val="0"/>
                      <w:numId w:val="0"/>
                    </w:numPr>
                    <w:spacing w:before="0"/>
                    <w:rPr>
                      <w:b/>
                      <w:color w:val="auto"/>
                      <w:kern w:val="2"/>
                      <w:sz w:val="21"/>
                      <w:highlight w:val="none"/>
                    </w:rPr>
                  </w:pPr>
                  <w:r>
                    <w:rPr>
                      <w:b/>
                      <w:color w:val="auto"/>
                      <w:kern w:val="2"/>
                      <w:sz w:val="21"/>
                      <w:highlight w:val="none"/>
                    </w:rPr>
                    <w:t>排放口编号</w:t>
                  </w:r>
                </w:p>
              </w:tc>
              <w:tc>
                <w:tcPr>
                  <w:tcW w:w="619" w:type="pct"/>
                  <w:shd w:val="clear" w:color="auto" w:fill="auto"/>
                  <w:vAlign w:val="center"/>
                </w:tcPr>
                <w:p w14:paraId="206A6BA6">
                  <w:pPr>
                    <w:pStyle w:val="95"/>
                    <w:numPr>
                      <w:ilvl w:val="0"/>
                      <w:numId w:val="0"/>
                    </w:numPr>
                    <w:spacing w:before="0"/>
                    <w:rPr>
                      <w:b/>
                      <w:color w:val="auto"/>
                      <w:kern w:val="2"/>
                      <w:sz w:val="21"/>
                      <w:highlight w:val="none"/>
                    </w:rPr>
                  </w:pPr>
                  <w:r>
                    <w:rPr>
                      <w:b/>
                      <w:color w:val="auto"/>
                      <w:kern w:val="2"/>
                      <w:sz w:val="21"/>
                      <w:highlight w:val="none"/>
                    </w:rPr>
                    <w:t>污染物种类</w:t>
                  </w:r>
                </w:p>
              </w:tc>
              <w:tc>
                <w:tcPr>
                  <w:tcW w:w="922" w:type="pct"/>
                  <w:shd w:val="clear" w:color="auto" w:fill="auto"/>
                  <w:vAlign w:val="center"/>
                </w:tcPr>
                <w:p w14:paraId="2725F3A7">
                  <w:pPr>
                    <w:pStyle w:val="95"/>
                    <w:numPr>
                      <w:ilvl w:val="0"/>
                      <w:numId w:val="0"/>
                    </w:numPr>
                    <w:spacing w:before="0"/>
                    <w:rPr>
                      <w:b/>
                      <w:color w:val="auto"/>
                      <w:kern w:val="2"/>
                      <w:sz w:val="21"/>
                      <w:highlight w:val="none"/>
                    </w:rPr>
                  </w:pPr>
                  <w:r>
                    <w:rPr>
                      <w:b/>
                      <w:color w:val="auto"/>
                      <w:kern w:val="2"/>
                      <w:sz w:val="21"/>
                      <w:highlight w:val="none"/>
                    </w:rPr>
                    <w:t>产生浓度（mg/L）</w:t>
                  </w:r>
                </w:p>
              </w:tc>
              <w:tc>
                <w:tcPr>
                  <w:tcW w:w="710" w:type="pct"/>
                  <w:shd w:val="clear" w:color="auto" w:fill="auto"/>
                  <w:vAlign w:val="center"/>
                </w:tcPr>
                <w:p w14:paraId="23472D78">
                  <w:pPr>
                    <w:pStyle w:val="95"/>
                    <w:numPr>
                      <w:ilvl w:val="0"/>
                      <w:numId w:val="0"/>
                    </w:numPr>
                    <w:spacing w:before="0"/>
                    <w:rPr>
                      <w:b/>
                      <w:color w:val="auto"/>
                      <w:kern w:val="2"/>
                      <w:sz w:val="21"/>
                      <w:highlight w:val="none"/>
                    </w:rPr>
                  </w:pPr>
                  <w:r>
                    <w:rPr>
                      <w:b/>
                      <w:color w:val="auto"/>
                      <w:kern w:val="2"/>
                      <w:sz w:val="21"/>
                      <w:highlight w:val="none"/>
                    </w:rPr>
                    <w:t>产生量（t/a）</w:t>
                  </w:r>
                </w:p>
              </w:tc>
              <w:tc>
                <w:tcPr>
                  <w:tcW w:w="783" w:type="pct"/>
                  <w:shd w:val="clear" w:color="auto" w:fill="auto"/>
                  <w:vAlign w:val="center"/>
                </w:tcPr>
                <w:p w14:paraId="387EAF37">
                  <w:pPr>
                    <w:pStyle w:val="95"/>
                    <w:numPr>
                      <w:ilvl w:val="0"/>
                      <w:numId w:val="0"/>
                    </w:numPr>
                    <w:spacing w:before="0"/>
                    <w:rPr>
                      <w:b/>
                      <w:color w:val="auto"/>
                      <w:kern w:val="2"/>
                      <w:sz w:val="21"/>
                      <w:highlight w:val="none"/>
                    </w:rPr>
                  </w:pPr>
                  <w:r>
                    <w:rPr>
                      <w:b/>
                      <w:color w:val="auto"/>
                      <w:kern w:val="2"/>
                      <w:sz w:val="21"/>
                      <w:highlight w:val="none"/>
                    </w:rPr>
                    <w:t>排放浓度（t/a）</w:t>
                  </w:r>
                </w:p>
              </w:tc>
              <w:tc>
                <w:tcPr>
                  <w:tcW w:w="714" w:type="pct"/>
                  <w:shd w:val="clear" w:color="auto" w:fill="auto"/>
                  <w:vAlign w:val="center"/>
                </w:tcPr>
                <w:p w14:paraId="4762A3C8">
                  <w:pPr>
                    <w:pStyle w:val="95"/>
                    <w:numPr>
                      <w:ilvl w:val="0"/>
                      <w:numId w:val="0"/>
                    </w:numPr>
                    <w:spacing w:before="0"/>
                    <w:rPr>
                      <w:b/>
                      <w:color w:val="auto"/>
                      <w:kern w:val="2"/>
                      <w:sz w:val="21"/>
                      <w:highlight w:val="none"/>
                    </w:rPr>
                  </w:pPr>
                  <w:r>
                    <w:rPr>
                      <w:b/>
                      <w:color w:val="auto"/>
                      <w:kern w:val="2"/>
                      <w:sz w:val="21"/>
                      <w:highlight w:val="none"/>
                    </w:rPr>
                    <w:t>排放量（t/a）</w:t>
                  </w:r>
                </w:p>
              </w:tc>
            </w:tr>
            <w:tr w14:paraId="66C72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313" w:type="pct"/>
                  <w:vMerge w:val="restart"/>
                  <w:shd w:val="clear" w:color="auto" w:fill="auto"/>
                  <w:vAlign w:val="center"/>
                </w:tcPr>
                <w:p w14:paraId="48F2578D">
                  <w:pPr>
                    <w:pStyle w:val="95"/>
                    <w:numPr>
                      <w:ilvl w:val="0"/>
                      <w:numId w:val="0"/>
                    </w:numPr>
                    <w:spacing w:before="0"/>
                    <w:rPr>
                      <w:bCs/>
                      <w:color w:val="auto"/>
                      <w:kern w:val="2"/>
                      <w:sz w:val="21"/>
                      <w:highlight w:val="none"/>
                    </w:rPr>
                  </w:pPr>
                  <w:r>
                    <w:rPr>
                      <w:bCs/>
                      <w:color w:val="auto"/>
                      <w:kern w:val="2"/>
                      <w:sz w:val="21"/>
                      <w:highlight w:val="none"/>
                    </w:rPr>
                    <w:t>1</w:t>
                  </w:r>
                </w:p>
              </w:tc>
              <w:tc>
                <w:tcPr>
                  <w:tcW w:w="934" w:type="pct"/>
                  <w:vMerge w:val="restart"/>
                  <w:shd w:val="clear" w:color="auto" w:fill="auto"/>
                  <w:vAlign w:val="center"/>
                </w:tcPr>
                <w:p w14:paraId="66B435C2">
                  <w:pPr>
                    <w:pStyle w:val="95"/>
                    <w:numPr>
                      <w:ilvl w:val="0"/>
                      <w:numId w:val="0"/>
                    </w:numPr>
                    <w:spacing w:before="0"/>
                    <w:rPr>
                      <w:bCs/>
                      <w:color w:val="auto"/>
                      <w:kern w:val="2"/>
                      <w:sz w:val="21"/>
                      <w:highlight w:val="none"/>
                    </w:rPr>
                  </w:pPr>
                  <w:r>
                    <w:rPr>
                      <w:bCs/>
                      <w:color w:val="auto"/>
                      <w:kern w:val="2"/>
                      <w:sz w:val="21"/>
                      <w:highlight w:val="none"/>
                    </w:rPr>
                    <w:t>DW001（生活污水）</w:t>
                  </w:r>
                </w:p>
              </w:tc>
              <w:tc>
                <w:tcPr>
                  <w:tcW w:w="619" w:type="pct"/>
                  <w:shd w:val="clear" w:color="auto" w:fill="auto"/>
                  <w:vAlign w:val="center"/>
                </w:tcPr>
                <w:p w14:paraId="124EC7F7">
                  <w:pPr>
                    <w:pStyle w:val="95"/>
                    <w:numPr>
                      <w:ilvl w:val="0"/>
                      <w:numId w:val="0"/>
                    </w:numPr>
                    <w:spacing w:before="0"/>
                    <w:rPr>
                      <w:bCs/>
                      <w:color w:val="auto"/>
                      <w:kern w:val="2"/>
                      <w:sz w:val="21"/>
                      <w:highlight w:val="none"/>
                    </w:rPr>
                  </w:pPr>
                  <w:r>
                    <w:rPr>
                      <w:bCs/>
                      <w:color w:val="auto"/>
                      <w:kern w:val="2"/>
                      <w:sz w:val="21"/>
                      <w:highlight w:val="none"/>
                    </w:rPr>
                    <w:t>流量</w:t>
                  </w:r>
                </w:p>
              </w:tc>
              <w:tc>
                <w:tcPr>
                  <w:tcW w:w="922" w:type="pct"/>
                  <w:shd w:val="clear" w:color="auto" w:fill="auto"/>
                  <w:vAlign w:val="center"/>
                </w:tcPr>
                <w:p w14:paraId="70A7274A">
                  <w:pPr>
                    <w:pStyle w:val="95"/>
                    <w:numPr>
                      <w:ilvl w:val="0"/>
                      <w:numId w:val="0"/>
                    </w:numPr>
                    <w:spacing w:before="0"/>
                    <w:rPr>
                      <w:bCs/>
                      <w:color w:val="auto"/>
                      <w:kern w:val="2"/>
                      <w:sz w:val="21"/>
                      <w:highlight w:val="none"/>
                    </w:rPr>
                  </w:pPr>
                  <w:r>
                    <w:rPr>
                      <w:bCs/>
                      <w:color w:val="auto"/>
                      <w:kern w:val="2"/>
                      <w:sz w:val="21"/>
                      <w:highlight w:val="none"/>
                    </w:rPr>
                    <w:t>/</w:t>
                  </w:r>
                </w:p>
              </w:tc>
              <w:tc>
                <w:tcPr>
                  <w:tcW w:w="710" w:type="pct"/>
                  <w:shd w:val="clear" w:color="auto" w:fill="auto"/>
                  <w:vAlign w:val="center"/>
                </w:tcPr>
                <w:p w14:paraId="2DA04701">
                  <w:pPr>
                    <w:pStyle w:val="95"/>
                    <w:numPr>
                      <w:ilvl w:val="0"/>
                      <w:numId w:val="0"/>
                    </w:numPr>
                    <w:spacing w:before="0"/>
                    <w:rPr>
                      <w:rFonts w:hint="default" w:eastAsia="宋体"/>
                      <w:bCs/>
                      <w:color w:val="auto"/>
                      <w:kern w:val="2"/>
                      <w:sz w:val="21"/>
                      <w:highlight w:val="none"/>
                      <w:lang w:val="en-US" w:eastAsia="zh-CN"/>
                    </w:rPr>
                  </w:pPr>
                  <w:r>
                    <w:rPr>
                      <w:rFonts w:hint="eastAsia"/>
                      <w:bCs/>
                      <w:color w:val="auto"/>
                      <w:kern w:val="2"/>
                      <w:sz w:val="21"/>
                      <w:highlight w:val="none"/>
                      <w:lang w:val="en-US" w:eastAsia="zh-CN"/>
                    </w:rPr>
                    <w:t>1512</w:t>
                  </w:r>
                </w:p>
              </w:tc>
              <w:tc>
                <w:tcPr>
                  <w:tcW w:w="783" w:type="pct"/>
                  <w:shd w:val="clear" w:color="auto" w:fill="auto"/>
                  <w:vAlign w:val="center"/>
                </w:tcPr>
                <w:p w14:paraId="3913CEE6">
                  <w:pPr>
                    <w:pStyle w:val="95"/>
                    <w:numPr>
                      <w:ilvl w:val="0"/>
                      <w:numId w:val="0"/>
                    </w:numPr>
                    <w:spacing w:before="0"/>
                    <w:rPr>
                      <w:bCs/>
                      <w:color w:val="auto"/>
                      <w:kern w:val="2"/>
                      <w:sz w:val="21"/>
                      <w:highlight w:val="none"/>
                    </w:rPr>
                  </w:pPr>
                  <w:r>
                    <w:rPr>
                      <w:bCs/>
                      <w:color w:val="auto"/>
                      <w:kern w:val="2"/>
                      <w:sz w:val="21"/>
                      <w:highlight w:val="none"/>
                    </w:rPr>
                    <w:t>/</w:t>
                  </w:r>
                </w:p>
              </w:tc>
              <w:tc>
                <w:tcPr>
                  <w:tcW w:w="1264" w:type="dxa"/>
                  <w:shd w:val="clear" w:color="auto" w:fill="auto"/>
                  <w:vAlign w:val="center"/>
                </w:tcPr>
                <w:p w14:paraId="2106A437">
                  <w:pPr>
                    <w:pStyle w:val="95"/>
                    <w:numPr>
                      <w:ilvl w:val="0"/>
                      <w:numId w:val="0"/>
                    </w:numPr>
                    <w:spacing w:before="0"/>
                    <w:ind w:left="0" w:leftChars="0" w:firstLine="0" w:firstLineChars="0"/>
                    <w:rPr>
                      <w:rFonts w:hint="default" w:eastAsia="宋体"/>
                      <w:bCs/>
                      <w:color w:val="auto"/>
                      <w:kern w:val="2"/>
                      <w:sz w:val="21"/>
                      <w:highlight w:val="none"/>
                      <w:lang w:val="en-US" w:eastAsia="zh-CN"/>
                    </w:rPr>
                  </w:pPr>
                  <w:r>
                    <w:rPr>
                      <w:rFonts w:hint="eastAsia"/>
                      <w:bCs/>
                      <w:color w:val="auto"/>
                      <w:kern w:val="2"/>
                      <w:sz w:val="21"/>
                      <w:highlight w:val="none"/>
                      <w:lang w:val="en-US" w:eastAsia="zh-CN"/>
                    </w:rPr>
                    <w:t>1512</w:t>
                  </w:r>
                </w:p>
              </w:tc>
            </w:tr>
            <w:tr w14:paraId="6039C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3" w:type="pct"/>
                  <w:vMerge w:val="continue"/>
                  <w:shd w:val="clear" w:color="auto" w:fill="auto"/>
                  <w:vAlign w:val="center"/>
                </w:tcPr>
                <w:p w14:paraId="579972C4">
                  <w:pPr>
                    <w:pStyle w:val="95"/>
                    <w:numPr>
                      <w:ilvl w:val="0"/>
                      <w:numId w:val="0"/>
                    </w:numPr>
                    <w:spacing w:before="0"/>
                    <w:rPr>
                      <w:bCs/>
                      <w:color w:val="auto"/>
                      <w:kern w:val="2"/>
                      <w:sz w:val="21"/>
                      <w:highlight w:val="none"/>
                    </w:rPr>
                  </w:pPr>
                </w:p>
              </w:tc>
              <w:tc>
                <w:tcPr>
                  <w:tcW w:w="934" w:type="pct"/>
                  <w:vMerge w:val="continue"/>
                  <w:shd w:val="clear" w:color="auto" w:fill="auto"/>
                  <w:vAlign w:val="center"/>
                </w:tcPr>
                <w:p w14:paraId="1D89780A">
                  <w:pPr>
                    <w:pStyle w:val="95"/>
                    <w:numPr>
                      <w:ilvl w:val="0"/>
                      <w:numId w:val="0"/>
                    </w:numPr>
                    <w:spacing w:before="0"/>
                    <w:rPr>
                      <w:bCs/>
                      <w:color w:val="auto"/>
                      <w:kern w:val="2"/>
                      <w:sz w:val="21"/>
                      <w:highlight w:val="none"/>
                    </w:rPr>
                  </w:pPr>
                </w:p>
              </w:tc>
              <w:tc>
                <w:tcPr>
                  <w:tcW w:w="619" w:type="pct"/>
                  <w:shd w:val="clear" w:color="auto" w:fill="auto"/>
                  <w:vAlign w:val="center"/>
                </w:tcPr>
                <w:p w14:paraId="267FA2A8">
                  <w:pPr>
                    <w:pStyle w:val="95"/>
                    <w:numPr>
                      <w:ilvl w:val="0"/>
                      <w:numId w:val="0"/>
                    </w:numPr>
                    <w:spacing w:before="0"/>
                    <w:rPr>
                      <w:bCs/>
                      <w:color w:val="auto"/>
                      <w:kern w:val="2"/>
                      <w:sz w:val="21"/>
                      <w:highlight w:val="none"/>
                    </w:rPr>
                  </w:pPr>
                  <w:r>
                    <w:rPr>
                      <w:bCs/>
                      <w:color w:val="auto"/>
                      <w:kern w:val="2"/>
                      <w:sz w:val="21"/>
                      <w:highlight w:val="none"/>
                    </w:rPr>
                    <w:t>CODcr</w:t>
                  </w:r>
                </w:p>
              </w:tc>
              <w:tc>
                <w:tcPr>
                  <w:tcW w:w="1632" w:type="dxa"/>
                  <w:shd w:val="clear" w:color="auto" w:fill="auto"/>
                  <w:vAlign w:val="center"/>
                </w:tcPr>
                <w:p w14:paraId="4A57AC8C">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250</w:t>
                  </w:r>
                </w:p>
              </w:tc>
              <w:tc>
                <w:tcPr>
                  <w:tcW w:w="1257" w:type="dxa"/>
                  <w:shd w:val="clear" w:color="auto" w:fill="auto"/>
                  <w:vAlign w:val="center"/>
                </w:tcPr>
                <w:p w14:paraId="16280891">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0.378 </w:t>
                  </w:r>
                </w:p>
              </w:tc>
              <w:tc>
                <w:tcPr>
                  <w:tcW w:w="1386" w:type="dxa"/>
                  <w:shd w:val="clear" w:color="auto" w:fill="auto"/>
                  <w:vAlign w:val="center"/>
                </w:tcPr>
                <w:p w14:paraId="27456EBC">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250</w:t>
                  </w:r>
                </w:p>
              </w:tc>
              <w:tc>
                <w:tcPr>
                  <w:tcW w:w="1264" w:type="dxa"/>
                  <w:shd w:val="clear" w:color="auto" w:fill="auto"/>
                  <w:vAlign w:val="center"/>
                </w:tcPr>
                <w:p w14:paraId="496A93EC">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0.378</w:t>
                  </w:r>
                </w:p>
              </w:tc>
            </w:tr>
            <w:tr w14:paraId="088D9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313" w:type="pct"/>
                  <w:vMerge w:val="continue"/>
                  <w:shd w:val="clear" w:color="auto" w:fill="auto"/>
                  <w:vAlign w:val="center"/>
                </w:tcPr>
                <w:p w14:paraId="63232FC6">
                  <w:pPr>
                    <w:pStyle w:val="95"/>
                    <w:numPr>
                      <w:ilvl w:val="0"/>
                      <w:numId w:val="0"/>
                    </w:numPr>
                    <w:spacing w:before="0"/>
                    <w:rPr>
                      <w:bCs/>
                      <w:color w:val="auto"/>
                      <w:kern w:val="2"/>
                      <w:sz w:val="21"/>
                      <w:highlight w:val="none"/>
                    </w:rPr>
                  </w:pPr>
                </w:p>
              </w:tc>
              <w:tc>
                <w:tcPr>
                  <w:tcW w:w="934" w:type="pct"/>
                  <w:vMerge w:val="continue"/>
                  <w:shd w:val="clear" w:color="auto" w:fill="auto"/>
                  <w:vAlign w:val="center"/>
                </w:tcPr>
                <w:p w14:paraId="34757460">
                  <w:pPr>
                    <w:pStyle w:val="95"/>
                    <w:numPr>
                      <w:ilvl w:val="0"/>
                      <w:numId w:val="0"/>
                    </w:numPr>
                    <w:spacing w:before="0"/>
                    <w:rPr>
                      <w:bCs/>
                      <w:color w:val="auto"/>
                      <w:kern w:val="2"/>
                      <w:sz w:val="21"/>
                      <w:highlight w:val="none"/>
                    </w:rPr>
                  </w:pPr>
                </w:p>
              </w:tc>
              <w:tc>
                <w:tcPr>
                  <w:tcW w:w="619" w:type="pct"/>
                  <w:shd w:val="clear" w:color="auto" w:fill="auto"/>
                  <w:vAlign w:val="center"/>
                </w:tcPr>
                <w:p w14:paraId="095EB740">
                  <w:pPr>
                    <w:pStyle w:val="95"/>
                    <w:numPr>
                      <w:ilvl w:val="0"/>
                      <w:numId w:val="0"/>
                    </w:numPr>
                    <w:spacing w:before="0"/>
                    <w:rPr>
                      <w:bCs/>
                      <w:color w:val="auto"/>
                      <w:kern w:val="2"/>
                      <w:sz w:val="21"/>
                      <w:highlight w:val="none"/>
                    </w:rPr>
                  </w:pPr>
                  <w:r>
                    <w:rPr>
                      <w:bCs/>
                      <w:color w:val="auto"/>
                      <w:kern w:val="2"/>
                      <w:sz w:val="21"/>
                      <w:highlight w:val="none"/>
                    </w:rPr>
                    <w:t>BOD</w:t>
                  </w:r>
                  <w:r>
                    <w:rPr>
                      <w:bCs/>
                      <w:color w:val="auto"/>
                      <w:kern w:val="2"/>
                      <w:sz w:val="21"/>
                      <w:highlight w:val="none"/>
                      <w:vertAlign w:val="subscript"/>
                    </w:rPr>
                    <w:t>5</w:t>
                  </w:r>
                </w:p>
              </w:tc>
              <w:tc>
                <w:tcPr>
                  <w:tcW w:w="1632" w:type="dxa"/>
                  <w:shd w:val="clear" w:color="auto" w:fill="auto"/>
                  <w:vAlign w:val="center"/>
                </w:tcPr>
                <w:p w14:paraId="14B46AC2">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150</w:t>
                  </w:r>
                </w:p>
              </w:tc>
              <w:tc>
                <w:tcPr>
                  <w:tcW w:w="1257" w:type="dxa"/>
                  <w:shd w:val="clear" w:color="auto" w:fill="auto"/>
                  <w:vAlign w:val="center"/>
                </w:tcPr>
                <w:p w14:paraId="68E249DC">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0.227 </w:t>
                  </w:r>
                </w:p>
              </w:tc>
              <w:tc>
                <w:tcPr>
                  <w:tcW w:w="1386" w:type="dxa"/>
                  <w:shd w:val="clear" w:color="auto" w:fill="auto"/>
                  <w:vAlign w:val="center"/>
                </w:tcPr>
                <w:p w14:paraId="3C1C8D00">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150</w:t>
                  </w:r>
                </w:p>
              </w:tc>
              <w:tc>
                <w:tcPr>
                  <w:tcW w:w="1264" w:type="dxa"/>
                  <w:shd w:val="clear" w:color="auto" w:fill="auto"/>
                  <w:vAlign w:val="center"/>
                </w:tcPr>
                <w:p w14:paraId="02849DFA">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0.227 </w:t>
                  </w:r>
                </w:p>
              </w:tc>
            </w:tr>
            <w:tr w14:paraId="1D5F5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3" w:type="pct"/>
                  <w:vMerge w:val="continue"/>
                  <w:shd w:val="clear" w:color="auto" w:fill="auto"/>
                  <w:vAlign w:val="center"/>
                </w:tcPr>
                <w:p w14:paraId="27CB598C">
                  <w:pPr>
                    <w:pStyle w:val="95"/>
                    <w:numPr>
                      <w:ilvl w:val="0"/>
                      <w:numId w:val="0"/>
                    </w:numPr>
                    <w:spacing w:before="0"/>
                    <w:rPr>
                      <w:bCs/>
                      <w:color w:val="auto"/>
                      <w:kern w:val="2"/>
                      <w:sz w:val="21"/>
                      <w:highlight w:val="none"/>
                    </w:rPr>
                  </w:pPr>
                </w:p>
              </w:tc>
              <w:tc>
                <w:tcPr>
                  <w:tcW w:w="934" w:type="pct"/>
                  <w:vMerge w:val="continue"/>
                  <w:shd w:val="clear" w:color="auto" w:fill="auto"/>
                  <w:vAlign w:val="center"/>
                </w:tcPr>
                <w:p w14:paraId="246878A3">
                  <w:pPr>
                    <w:pStyle w:val="95"/>
                    <w:numPr>
                      <w:ilvl w:val="0"/>
                      <w:numId w:val="0"/>
                    </w:numPr>
                    <w:spacing w:before="0"/>
                    <w:rPr>
                      <w:bCs/>
                      <w:color w:val="auto"/>
                      <w:kern w:val="2"/>
                      <w:sz w:val="21"/>
                      <w:highlight w:val="none"/>
                    </w:rPr>
                  </w:pPr>
                </w:p>
              </w:tc>
              <w:tc>
                <w:tcPr>
                  <w:tcW w:w="619" w:type="pct"/>
                  <w:shd w:val="clear" w:color="auto" w:fill="auto"/>
                  <w:vAlign w:val="center"/>
                </w:tcPr>
                <w:p w14:paraId="4D851C31">
                  <w:pPr>
                    <w:pStyle w:val="95"/>
                    <w:numPr>
                      <w:ilvl w:val="0"/>
                      <w:numId w:val="0"/>
                    </w:numPr>
                    <w:spacing w:before="0"/>
                    <w:rPr>
                      <w:bCs/>
                      <w:color w:val="auto"/>
                      <w:kern w:val="2"/>
                      <w:sz w:val="21"/>
                      <w:highlight w:val="none"/>
                    </w:rPr>
                  </w:pPr>
                  <w:r>
                    <w:rPr>
                      <w:bCs/>
                      <w:color w:val="auto"/>
                      <w:kern w:val="2"/>
                      <w:sz w:val="21"/>
                      <w:highlight w:val="none"/>
                    </w:rPr>
                    <w:t>SS</w:t>
                  </w:r>
                </w:p>
              </w:tc>
              <w:tc>
                <w:tcPr>
                  <w:tcW w:w="1632" w:type="dxa"/>
                  <w:shd w:val="clear" w:color="auto" w:fill="auto"/>
                  <w:vAlign w:val="center"/>
                </w:tcPr>
                <w:p w14:paraId="1F374A0F">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200</w:t>
                  </w:r>
                </w:p>
              </w:tc>
              <w:tc>
                <w:tcPr>
                  <w:tcW w:w="1257" w:type="dxa"/>
                  <w:shd w:val="clear" w:color="auto" w:fill="auto"/>
                  <w:vAlign w:val="center"/>
                </w:tcPr>
                <w:p w14:paraId="7D830E39">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0.302 </w:t>
                  </w:r>
                </w:p>
              </w:tc>
              <w:tc>
                <w:tcPr>
                  <w:tcW w:w="1386" w:type="dxa"/>
                  <w:shd w:val="clear" w:color="auto" w:fill="auto"/>
                  <w:vAlign w:val="center"/>
                </w:tcPr>
                <w:p w14:paraId="35AF0F6D">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200</w:t>
                  </w:r>
                </w:p>
              </w:tc>
              <w:tc>
                <w:tcPr>
                  <w:tcW w:w="1264" w:type="dxa"/>
                  <w:shd w:val="clear" w:color="auto" w:fill="auto"/>
                  <w:vAlign w:val="center"/>
                </w:tcPr>
                <w:p w14:paraId="2D4D6755">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0.302 </w:t>
                  </w:r>
                </w:p>
              </w:tc>
            </w:tr>
            <w:tr w14:paraId="09C51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313" w:type="pct"/>
                  <w:vMerge w:val="continue"/>
                  <w:shd w:val="clear" w:color="auto" w:fill="auto"/>
                  <w:vAlign w:val="center"/>
                </w:tcPr>
                <w:p w14:paraId="7A6FEA05">
                  <w:pPr>
                    <w:pStyle w:val="95"/>
                    <w:numPr>
                      <w:ilvl w:val="0"/>
                      <w:numId w:val="0"/>
                    </w:numPr>
                    <w:spacing w:before="0"/>
                    <w:rPr>
                      <w:bCs/>
                      <w:color w:val="auto"/>
                      <w:kern w:val="2"/>
                      <w:sz w:val="21"/>
                      <w:highlight w:val="none"/>
                    </w:rPr>
                  </w:pPr>
                </w:p>
              </w:tc>
              <w:tc>
                <w:tcPr>
                  <w:tcW w:w="934" w:type="pct"/>
                  <w:vMerge w:val="continue"/>
                  <w:shd w:val="clear" w:color="auto" w:fill="auto"/>
                  <w:vAlign w:val="center"/>
                </w:tcPr>
                <w:p w14:paraId="69B50C63">
                  <w:pPr>
                    <w:pStyle w:val="95"/>
                    <w:numPr>
                      <w:ilvl w:val="0"/>
                      <w:numId w:val="0"/>
                    </w:numPr>
                    <w:spacing w:before="0"/>
                    <w:rPr>
                      <w:bCs/>
                      <w:color w:val="auto"/>
                      <w:kern w:val="2"/>
                      <w:sz w:val="21"/>
                      <w:highlight w:val="none"/>
                    </w:rPr>
                  </w:pPr>
                </w:p>
              </w:tc>
              <w:tc>
                <w:tcPr>
                  <w:tcW w:w="619" w:type="pct"/>
                  <w:shd w:val="clear" w:color="auto" w:fill="auto"/>
                  <w:vAlign w:val="center"/>
                </w:tcPr>
                <w:p w14:paraId="5868BC1B">
                  <w:pPr>
                    <w:pStyle w:val="95"/>
                    <w:numPr>
                      <w:ilvl w:val="0"/>
                      <w:numId w:val="0"/>
                    </w:numPr>
                    <w:spacing w:before="0"/>
                    <w:rPr>
                      <w:bCs/>
                      <w:color w:val="auto"/>
                      <w:kern w:val="2"/>
                      <w:sz w:val="21"/>
                      <w:highlight w:val="none"/>
                    </w:rPr>
                  </w:pPr>
                  <w:r>
                    <w:rPr>
                      <w:bCs/>
                      <w:color w:val="auto"/>
                      <w:kern w:val="2"/>
                      <w:sz w:val="21"/>
                      <w:highlight w:val="none"/>
                    </w:rPr>
                    <w:t>NH</w:t>
                  </w:r>
                  <w:r>
                    <w:rPr>
                      <w:bCs/>
                      <w:color w:val="auto"/>
                      <w:kern w:val="2"/>
                      <w:sz w:val="21"/>
                      <w:highlight w:val="none"/>
                      <w:vertAlign w:val="subscript"/>
                    </w:rPr>
                    <w:t>3</w:t>
                  </w:r>
                  <w:r>
                    <w:rPr>
                      <w:bCs/>
                      <w:color w:val="auto"/>
                      <w:kern w:val="2"/>
                      <w:sz w:val="21"/>
                      <w:highlight w:val="none"/>
                    </w:rPr>
                    <w:t>-N</w:t>
                  </w:r>
                </w:p>
              </w:tc>
              <w:tc>
                <w:tcPr>
                  <w:tcW w:w="1632" w:type="dxa"/>
                  <w:shd w:val="clear" w:color="auto" w:fill="auto"/>
                  <w:vAlign w:val="center"/>
                </w:tcPr>
                <w:p w14:paraId="7BAB83F3">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25</w:t>
                  </w:r>
                </w:p>
              </w:tc>
              <w:tc>
                <w:tcPr>
                  <w:tcW w:w="1257" w:type="dxa"/>
                  <w:shd w:val="clear" w:color="auto" w:fill="auto"/>
                  <w:vAlign w:val="center"/>
                </w:tcPr>
                <w:p w14:paraId="36827AA6">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0.038 </w:t>
                  </w:r>
                </w:p>
              </w:tc>
              <w:tc>
                <w:tcPr>
                  <w:tcW w:w="1386" w:type="dxa"/>
                  <w:shd w:val="clear" w:color="auto" w:fill="auto"/>
                  <w:vAlign w:val="center"/>
                </w:tcPr>
                <w:p w14:paraId="0B5E534B">
                  <w:pPr>
                    <w:pStyle w:val="95"/>
                    <w:numPr>
                      <w:ilvl w:val="0"/>
                      <w:numId w:val="0"/>
                    </w:numPr>
                    <w:spacing w:before="0"/>
                    <w:rPr>
                      <w:rFonts w:hint="eastAsia"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25</w:t>
                  </w:r>
                </w:p>
              </w:tc>
              <w:tc>
                <w:tcPr>
                  <w:tcW w:w="1264" w:type="dxa"/>
                  <w:shd w:val="clear" w:color="auto" w:fill="auto"/>
                  <w:vAlign w:val="center"/>
                </w:tcPr>
                <w:p w14:paraId="2A952283">
                  <w:pPr>
                    <w:pStyle w:val="95"/>
                    <w:numPr>
                      <w:ilvl w:val="0"/>
                      <w:numId w:val="0"/>
                    </w:numPr>
                    <w:spacing w:before="0"/>
                    <w:rPr>
                      <w:rFonts w:hint="default" w:ascii="Times New Roman" w:hAnsi="Times New Roman" w:eastAsia="宋体" w:cs="Times New Roman"/>
                      <w:bCs/>
                      <w:color w:val="auto"/>
                      <w:kern w:val="2"/>
                      <w:sz w:val="21"/>
                      <w:highlight w:val="none"/>
                      <w:lang w:val="en-US" w:eastAsia="zh-CN"/>
                    </w:rPr>
                  </w:pPr>
                  <w:r>
                    <w:rPr>
                      <w:rFonts w:hint="default" w:ascii="Times New Roman" w:hAnsi="Times New Roman" w:eastAsia="宋体" w:cs="Times New Roman"/>
                      <w:bCs/>
                      <w:color w:val="auto"/>
                      <w:kern w:val="2"/>
                      <w:sz w:val="21"/>
                      <w:highlight w:val="none"/>
                      <w:lang w:val="en-US" w:eastAsia="zh-CN"/>
                    </w:rPr>
                    <w:t xml:space="preserve">0.038 </w:t>
                  </w:r>
                </w:p>
              </w:tc>
            </w:tr>
          </w:tbl>
          <w:p w14:paraId="0D873EE3">
            <w:pPr>
              <w:snapToGrid w:val="0"/>
              <w:spacing w:line="360" w:lineRule="auto"/>
              <w:ind w:firstLine="480" w:firstLineChars="200"/>
              <w:rPr>
                <w:color w:val="auto"/>
                <w:sz w:val="24"/>
                <w:highlight w:val="none"/>
              </w:rPr>
            </w:pPr>
            <w:r>
              <w:rPr>
                <w:color w:val="auto"/>
                <w:sz w:val="24"/>
                <w:highlight w:val="none"/>
              </w:rPr>
              <w:t>综上所述，外排废水对纳污水体及周边水环境影响不大。</w:t>
            </w:r>
          </w:p>
          <w:p w14:paraId="70F150B2">
            <w:pPr>
              <w:spacing w:before="120" w:beforeLines="50" w:line="360" w:lineRule="auto"/>
              <w:ind w:firstLine="482" w:firstLineChars="200"/>
              <w:rPr>
                <w:b/>
                <w:bCs/>
                <w:color w:val="auto"/>
                <w:sz w:val="24"/>
                <w:highlight w:val="none"/>
              </w:rPr>
            </w:pPr>
            <w:r>
              <w:rPr>
                <w:rFonts w:hint="eastAsia"/>
                <w:b/>
                <w:bCs/>
                <w:color w:val="auto"/>
                <w:sz w:val="24"/>
                <w:highlight w:val="none"/>
              </w:rPr>
              <w:t>二</w:t>
            </w:r>
            <w:r>
              <w:rPr>
                <w:b/>
                <w:bCs/>
                <w:color w:val="auto"/>
                <w:sz w:val="24"/>
                <w:highlight w:val="none"/>
              </w:rPr>
              <w:t>、</w:t>
            </w:r>
            <w:r>
              <w:rPr>
                <w:rFonts w:hint="eastAsia"/>
                <w:b/>
                <w:bCs/>
                <w:color w:val="auto"/>
                <w:sz w:val="24"/>
                <w:highlight w:val="none"/>
              </w:rPr>
              <w:t>大气</w:t>
            </w:r>
            <w:r>
              <w:rPr>
                <w:b/>
                <w:bCs/>
                <w:color w:val="auto"/>
                <w:sz w:val="24"/>
                <w:highlight w:val="none"/>
              </w:rPr>
              <w:t>环境影响分析</w:t>
            </w:r>
          </w:p>
          <w:p w14:paraId="397AE92C">
            <w:pPr>
              <w:spacing w:line="360" w:lineRule="auto"/>
              <w:ind w:firstLine="472" w:firstLineChars="196"/>
              <w:rPr>
                <w:b/>
                <w:bCs/>
                <w:color w:val="auto"/>
                <w:sz w:val="24"/>
                <w:highlight w:val="none"/>
              </w:rPr>
            </w:pPr>
            <w:r>
              <w:rPr>
                <w:b/>
                <w:bCs/>
                <w:color w:val="auto"/>
                <w:sz w:val="24"/>
                <w:highlight w:val="none"/>
              </w:rPr>
              <w:t>（1）产排情况分析</w:t>
            </w:r>
          </w:p>
          <w:p w14:paraId="37F9B8B8">
            <w:pPr>
              <w:pStyle w:val="26"/>
              <w:wordWrap w:val="0"/>
              <w:topLinePunct/>
              <w:adjustRightInd w:val="0"/>
              <w:spacing w:line="360" w:lineRule="auto"/>
              <w:ind w:firstLine="482" w:firstLineChars="200"/>
              <w:rPr>
                <w:b/>
                <w:bCs/>
                <w:color w:val="auto"/>
                <w:sz w:val="24"/>
                <w:szCs w:val="22"/>
              </w:rPr>
            </w:pPr>
            <w:r>
              <w:rPr>
                <w:rFonts w:hint="eastAsia"/>
                <w:b/>
                <w:bCs/>
                <w:color w:val="auto"/>
                <w:sz w:val="24"/>
                <w:szCs w:val="22"/>
              </w:rPr>
              <w:t>（1）混料、投料工序粉尘</w:t>
            </w:r>
            <w:r>
              <w:rPr>
                <w:b/>
                <w:bCs/>
                <w:color w:val="auto"/>
                <w:sz w:val="24"/>
                <w:szCs w:val="22"/>
              </w:rPr>
              <w:t>：</w:t>
            </w:r>
          </w:p>
          <w:p w14:paraId="00A5D36D">
            <w:pPr>
              <w:pStyle w:val="26"/>
              <w:wordWrap w:val="0"/>
              <w:topLinePunct/>
              <w:spacing w:line="360" w:lineRule="auto"/>
              <w:ind w:firstLine="480" w:firstLineChars="200"/>
              <w:rPr>
                <w:color w:val="auto"/>
                <w:sz w:val="24"/>
                <w:szCs w:val="22"/>
              </w:rPr>
            </w:pPr>
            <w:r>
              <w:rPr>
                <w:color w:val="auto"/>
                <w:sz w:val="24"/>
                <w:szCs w:val="22"/>
              </w:rPr>
              <w:t>项目</w:t>
            </w:r>
            <w:r>
              <w:rPr>
                <w:rFonts w:hint="eastAsia"/>
                <w:color w:val="auto"/>
                <w:sz w:val="24"/>
                <w:szCs w:val="22"/>
              </w:rPr>
              <w:t>混料、投料工序</w:t>
            </w:r>
            <w:r>
              <w:rPr>
                <w:color w:val="auto"/>
                <w:sz w:val="24"/>
                <w:szCs w:val="22"/>
              </w:rPr>
              <w:t>使用</w:t>
            </w:r>
            <w:r>
              <w:rPr>
                <w:color w:val="auto"/>
                <w:sz w:val="24"/>
              </w:rPr>
              <w:t>P</w:t>
            </w:r>
            <w:r>
              <w:rPr>
                <w:rFonts w:hint="eastAsia"/>
                <w:color w:val="auto"/>
                <w:sz w:val="24"/>
                <w:lang w:val="en-US" w:eastAsia="zh-CN"/>
              </w:rPr>
              <w:t>C</w:t>
            </w:r>
            <w:r>
              <w:rPr>
                <w:color w:val="auto"/>
                <w:sz w:val="24"/>
              </w:rPr>
              <w:t>、</w:t>
            </w:r>
            <w:r>
              <w:rPr>
                <w:rFonts w:hint="eastAsia"/>
                <w:color w:val="auto"/>
                <w:sz w:val="24"/>
              </w:rPr>
              <w:t>P</w:t>
            </w:r>
            <w:r>
              <w:rPr>
                <w:rFonts w:hint="eastAsia"/>
                <w:color w:val="auto"/>
                <w:sz w:val="24"/>
                <w:lang w:val="en-US" w:eastAsia="zh-CN"/>
              </w:rPr>
              <w:t>A</w:t>
            </w:r>
            <w:r>
              <w:rPr>
                <w:rFonts w:hint="eastAsia"/>
                <w:color w:val="auto"/>
                <w:sz w:val="24"/>
              </w:rPr>
              <w:t>、</w:t>
            </w:r>
            <w:r>
              <w:rPr>
                <w:rFonts w:hint="eastAsia"/>
                <w:color w:val="auto"/>
                <w:sz w:val="24"/>
                <w:lang w:val="en-US" w:eastAsia="zh-CN"/>
              </w:rPr>
              <w:t>色粉，</w:t>
            </w:r>
            <w:r>
              <w:rPr>
                <w:rFonts w:hint="eastAsia"/>
                <w:color w:val="auto"/>
                <w:sz w:val="24"/>
                <w:szCs w:val="22"/>
              </w:rPr>
              <w:t>为颗粒状，但</w:t>
            </w:r>
            <w:r>
              <w:rPr>
                <w:rFonts w:hint="eastAsia"/>
                <w:color w:val="auto"/>
                <w:sz w:val="24"/>
              </w:rPr>
              <w:t>项目生产过程使用色粉原料为粉末状，故混料、投料过程产生粉尘，以颗粒物表征，根据同类型企业生产经验，</w:t>
            </w:r>
            <w:r>
              <w:rPr>
                <w:rFonts w:hint="eastAsia"/>
                <w:color w:val="auto"/>
                <w:sz w:val="24"/>
                <w:szCs w:val="22"/>
              </w:rPr>
              <w:t>混料、投料</w:t>
            </w:r>
            <w:r>
              <w:rPr>
                <w:rFonts w:hint="eastAsia"/>
                <w:color w:val="auto"/>
                <w:sz w:val="24"/>
              </w:rPr>
              <w:t>粉尘产生量约为粉末原料使用量的1</w:t>
            </w:r>
            <w:r>
              <w:rPr>
                <w:rFonts w:hint="eastAsia"/>
                <w:color w:val="auto"/>
                <w:sz w:val="24"/>
                <w:lang w:val="en-US" w:eastAsia="zh-CN"/>
              </w:rPr>
              <w:t>%</w:t>
            </w:r>
            <w:r>
              <w:rPr>
                <w:rFonts w:hint="eastAsia"/>
                <w:color w:val="auto"/>
                <w:sz w:val="24"/>
              </w:rPr>
              <w:t>，粉末状原料用量为</w:t>
            </w:r>
            <w:r>
              <w:rPr>
                <w:rFonts w:hint="eastAsia"/>
                <w:color w:val="auto"/>
                <w:sz w:val="24"/>
                <w:lang w:val="en-US" w:eastAsia="zh-CN"/>
              </w:rPr>
              <w:t>0.5</w:t>
            </w:r>
            <w:r>
              <w:rPr>
                <w:rFonts w:hint="eastAsia"/>
                <w:color w:val="auto"/>
                <w:sz w:val="24"/>
              </w:rPr>
              <w:t>t/a，则</w:t>
            </w:r>
            <w:r>
              <w:rPr>
                <w:rFonts w:hint="eastAsia"/>
                <w:color w:val="auto"/>
                <w:sz w:val="24"/>
                <w:szCs w:val="22"/>
              </w:rPr>
              <w:t>混料、投料</w:t>
            </w:r>
            <w:r>
              <w:rPr>
                <w:rFonts w:hint="eastAsia"/>
                <w:color w:val="auto"/>
                <w:sz w:val="24"/>
              </w:rPr>
              <w:t>粉尘产生量为0.00</w:t>
            </w:r>
            <w:r>
              <w:rPr>
                <w:rFonts w:hint="eastAsia"/>
                <w:color w:val="auto"/>
                <w:sz w:val="24"/>
                <w:lang w:val="en-US" w:eastAsia="zh-CN"/>
              </w:rPr>
              <w:t>5</w:t>
            </w:r>
            <w:r>
              <w:rPr>
                <w:rFonts w:hint="eastAsia"/>
                <w:color w:val="auto"/>
                <w:sz w:val="24"/>
              </w:rPr>
              <w:t>t/a，无组织排放，工作时间为</w:t>
            </w:r>
            <w:r>
              <w:rPr>
                <w:rFonts w:hint="eastAsia"/>
                <w:color w:val="auto"/>
                <w:sz w:val="24"/>
                <w:lang w:val="en-US" w:eastAsia="zh-CN"/>
              </w:rPr>
              <w:t>3</w:t>
            </w:r>
            <w:r>
              <w:rPr>
                <w:rFonts w:hint="eastAsia"/>
                <w:color w:val="auto"/>
                <w:sz w:val="24"/>
              </w:rPr>
              <w:t>00h，无组织排放速率为0.0</w:t>
            </w:r>
            <w:r>
              <w:rPr>
                <w:rFonts w:hint="eastAsia"/>
                <w:color w:val="auto"/>
                <w:sz w:val="24"/>
                <w:lang w:val="en-US" w:eastAsia="zh-CN"/>
              </w:rPr>
              <w:t>16</w:t>
            </w:r>
            <w:r>
              <w:rPr>
                <w:rFonts w:hint="eastAsia"/>
                <w:color w:val="auto"/>
                <w:sz w:val="24"/>
              </w:rPr>
              <w:t>kg/h，颗粒物无组织排放达到</w:t>
            </w:r>
            <w:r>
              <w:rPr>
                <w:rFonts w:hint="eastAsia"/>
                <w:color w:val="auto"/>
                <w:sz w:val="24"/>
                <w:lang w:eastAsia="zh-CN"/>
              </w:rPr>
              <w:t>《合成树脂工业污染物排放标准》（GB31572-2015，含2024年修改单）</w:t>
            </w:r>
            <w:r>
              <w:rPr>
                <w:rFonts w:hint="eastAsia"/>
                <w:color w:val="auto"/>
                <w:sz w:val="24"/>
              </w:rPr>
              <w:t>表9企业边界大气污染物浓度限值</w:t>
            </w:r>
            <w:r>
              <w:rPr>
                <w:color w:val="auto"/>
                <w:sz w:val="24"/>
                <w:szCs w:val="22"/>
              </w:rPr>
              <w:t>。</w:t>
            </w:r>
          </w:p>
          <w:p w14:paraId="3A5ACE2F">
            <w:pPr>
              <w:pStyle w:val="26"/>
              <w:wordWrap w:val="0"/>
              <w:topLinePunct/>
              <w:spacing w:line="360" w:lineRule="auto"/>
              <w:ind w:firstLine="482" w:firstLineChars="200"/>
              <w:rPr>
                <w:rFonts w:hint="eastAsia"/>
                <w:b/>
                <w:bCs/>
                <w:color w:val="auto"/>
                <w:sz w:val="24"/>
                <w:szCs w:val="22"/>
              </w:rPr>
            </w:pPr>
            <w:r>
              <w:rPr>
                <w:rFonts w:hint="eastAsia"/>
                <w:b/>
                <w:bCs/>
                <w:color w:val="auto"/>
                <w:sz w:val="24"/>
                <w:szCs w:val="22"/>
              </w:rPr>
              <w:t>（</w:t>
            </w:r>
            <w:r>
              <w:rPr>
                <w:rFonts w:hint="eastAsia"/>
                <w:b/>
                <w:bCs/>
                <w:color w:val="auto"/>
                <w:sz w:val="24"/>
                <w:szCs w:val="22"/>
                <w:lang w:val="en-US" w:eastAsia="zh-CN"/>
              </w:rPr>
              <w:t>2</w:t>
            </w:r>
            <w:r>
              <w:rPr>
                <w:rFonts w:hint="eastAsia"/>
                <w:b/>
                <w:bCs/>
                <w:color w:val="auto"/>
                <w:sz w:val="24"/>
                <w:szCs w:val="22"/>
              </w:rPr>
              <w:t>）注塑、烘料工序废气</w:t>
            </w:r>
          </w:p>
          <w:p w14:paraId="11F65C82">
            <w:pPr>
              <w:widowControl/>
              <w:spacing w:line="360" w:lineRule="auto"/>
              <w:ind w:firstLine="482" w:firstLineChars="200"/>
              <w:jc w:val="left"/>
              <w:rPr>
                <w:color w:val="auto"/>
                <w:sz w:val="24"/>
                <w:szCs w:val="22"/>
              </w:rPr>
            </w:pPr>
            <w:r>
              <w:rPr>
                <w:b/>
                <w:bCs/>
                <w:color w:val="auto"/>
                <w:sz w:val="24"/>
                <w:szCs w:val="22"/>
              </w:rPr>
              <w:t>产污情况：</w:t>
            </w:r>
            <w:r>
              <w:rPr>
                <w:rFonts w:hint="eastAsia"/>
                <w:color w:val="auto"/>
                <w:sz w:val="24"/>
                <w:szCs w:val="22"/>
              </w:rPr>
              <w:t>项目在注塑、烘料过程中产生有机废气和臭气浓度，有机废气以非甲烷总烃表征。</w:t>
            </w:r>
            <w:r>
              <w:rPr>
                <w:rFonts w:hint="eastAsia"/>
                <w:color w:val="auto"/>
                <w:sz w:val="24"/>
                <w:highlight w:val="none"/>
                <w:lang w:val="en-US" w:eastAsia="zh-CN"/>
              </w:rPr>
              <w:t>本项目注塑温度为200°C，未达到裂解温度，且产生量小，则本项目塑料新粒热分解产生的氨、酚类、二氯甲烷仅作定性分析。</w:t>
            </w:r>
            <w:r>
              <w:rPr>
                <w:rFonts w:hint="eastAsia"/>
                <w:color w:val="auto"/>
                <w:sz w:val="24"/>
                <w:szCs w:val="22"/>
              </w:rPr>
              <w:t>非甲烷总烃产生系数参考</w:t>
            </w:r>
            <w:r>
              <w:rPr>
                <w:color w:val="auto"/>
                <w:sz w:val="24"/>
              </w:rPr>
              <w:t>根据《广东省塑料制品与制造业、人造石制造业、电子元件制造业挥发性有机化合物排放系数使用指南》表4-1塑料制品与制造业成型工序VOCs排放系数（单位：kg/t塑胶原料用量），</w:t>
            </w:r>
            <w:r>
              <w:rPr>
                <w:rFonts w:hint="eastAsia"/>
                <w:color w:val="auto"/>
                <w:sz w:val="24"/>
              </w:rPr>
              <w:t>对应表</w:t>
            </w:r>
            <w:r>
              <w:rPr>
                <w:color w:val="auto"/>
                <w:sz w:val="24"/>
              </w:rPr>
              <w:t>产污系数为</w:t>
            </w:r>
            <w:r>
              <w:rPr>
                <w:rFonts w:hint="eastAsia"/>
                <w:color w:val="auto"/>
                <w:sz w:val="24"/>
              </w:rPr>
              <w:t>2.368t/a</w:t>
            </w:r>
            <w:r>
              <w:rPr>
                <w:rFonts w:hint="eastAsia"/>
                <w:color w:val="auto"/>
                <w:sz w:val="24"/>
                <w:szCs w:val="22"/>
              </w:rPr>
              <w:t>。项目使用的</w:t>
            </w:r>
            <w:r>
              <w:rPr>
                <w:rFonts w:hint="eastAsia"/>
                <w:color w:val="auto"/>
                <w:sz w:val="24"/>
                <w:lang w:val="en-US" w:eastAsia="zh-CN"/>
              </w:rPr>
              <w:t>PC</w:t>
            </w:r>
            <w:r>
              <w:rPr>
                <w:color w:val="auto"/>
                <w:sz w:val="24"/>
              </w:rPr>
              <w:t>塑料新粒、</w:t>
            </w:r>
            <w:r>
              <w:rPr>
                <w:rFonts w:hint="eastAsia"/>
                <w:color w:val="auto"/>
                <w:sz w:val="24"/>
              </w:rPr>
              <w:t>P</w:t>
            </w:r>
            <w:r>
              <w:rPr>
                <w:rFonts w:hint="eastAsia"/>
                <w:color w:val="auto"/>
                <w:sz w:val="24"/>
                <w:lang w:val="en-US" w:eastAsia="zh-CN"/>
              </w:rPr>
              <w:t>A</w:t>
            </w:r>
            <w:r>
              <w:rPr>
                <w:color w:val="auto"/>
                <w:sz w:val="24"/>
              </w:rPr>
              <w:t>塑料新粒</w:t>
            </w:r>
            <w:r>
              <w:rPr>
                <w:rFonts w:hint="eastAsia"/>
                <w:color w:val="auto"/>
                <w:sz w:val="24"/>
                <w:szCs w:val="22"/>
              </w:rPr>
              <w:t>、色母、色粉合计</w:t>
            </w:r>
            <w:r>
              <w:rPr>
                <w:rFonts w:hint="eastAsia"/>
                <w:color w:val="auto"/>
                <w:sz w:val="24"/>
                <w:szCs w:val="22"/>
                <w:lang w:val="en-US" w:eastAsia="zh-CN"/>
              </w:rPr>
              <w:t>40.5</w:t>
            </w:r>
            <w:r>
              <w:rPr>
                <w:rFonts w:hint="eastAsia"/>
                <w:color w:val="auto"/>
                <w:sz w:val="24"/>
                <w:szCs w:val="22"/>
              </w:rPr>
              <w:t>t/a，故产生的非甲烷总烃量为0.</w:t>
            </w:r>
            <w:r>
              <w:rPr>
                <w:rFonts w:hint="eastAsia"/>
                <w:color w:val="auto"/>
                <w:sz w:val="24"/>
                <w:szCs w:val="22"/>
                <w:lang w:val="en-US" w:eastAsia="zh-CN"/>
              </w:rPr>
              <w:t>096</w:t>
            </w:r>
            <w:r>
              <w:rPr>
                <w:rFonts w:hint="eastAsia"/>
                <w:color w:val="auto"/>
                <w:sz w:val="24"/>
                <w:szCs w:val="22"/>
              </w:rPr>
              <w:t>t/a，年工作时间</w:t>
            </w:r>
            <w:r>
              <w:rPr>
                <w:rFonts w:hint="eastAsia"/>
                <w:color w:val="auto"/>
                <w:sz w:val="24"/>
                <w:szCs w:val="22"/>
                <w:lang w:val="en-US" w:eastAsia="zh-CN"/>
              </w:rPr>
              <w:t>24</w:t>
            </w:r>
            <w:r>
              <w:rPr>
                <w:rFonts w:hint="eastAsia"/>
                <w:color w:val="auto"/>
                <w:sz w:val="24"/>
                <w:szCs w:val="22"/>
              </w:rPr>
              <w:t>00h。</w:t>
            </w:r>
          </w:p>
          <w:p w14:paraId="53DC4E47">
            <w:pPr>
              <w:widowControl/>
              <w:spacing w:line="360" w:lineRule="auto"/>
              <w:ind w:firstLine="482" w:firstLineChars="200"/>
              <w:jc w:val="left"/>
              <w:rPr>
                <w:rFonts w:hint="eastAsia" w:eastAsia="宋体"/>
                <w:color w:val="auto"/>
                <w:sz w:val="24"/>
                <w:lang w:eastAsia="zh-CN"/>
              </w:rPr>
            </w:pPr>
            <w:r>
              <w:rPr>
                <w:b/>
                <w:bCs/>
                <w:color w:val="auto"/>
                <w:sz w:val="24"/>
                <w:szCs w:val="22"/>
              </w:rPr>
              <w:t>收集治理情况：</w:t>
            </w:r>
            <w:r>
              <w:rPr>
                <w:color w:val="auto"/>
                <w:sz w:val="24"/>
              </w:rPr>
              <w:t>本项目拟对</w:t>
            </w:r>
            <w:r>
              <w:rPr>
                <w:rFonts w:hint="eastAsia"/>
                <w:color w:val="auto"/>
                <w:sz w:val="24"/>
                <w:szCs w:val="22"/>
              </w:rPr>
              <w:t>注塑</w:t>
            </w:r>
            <w:r>
              <w:rPr>
                <w:color w:val="auto"/>
                <w:sz w:val="24"/>
                <w:szCs w:val="22"/>
              </w:rPr>
              <w:t>工序采</w:t>
            </w:r>
            <w:r>
              <w:rPr>
                <w:color w:val="auto"/>
                <w:sz w:val="24"/>
              </w:rPr>
              <w:t>取</w:t>
            </w:r>
            <w:r>
              <w:rPr>
                <w:rFonts w:hint="eastAsia"/>
                <w:color w:val="auto"/>
                <w:sz w:val="24"/>
                <w:lang w:val="en-US" w:eastAsia="zh-CN"/>
              </w:rPr>
              <w:t>集气罩</w:t>
            </w:r>
            <w:r>
              <w:rPr>
                <w:color w:val="auto"/>
                <w:sz w:val="24"/>
                <w:szCs w:val="22"/>
              </w:rPr>
              <w:t>收集，</w:t>
            </w:r>
            <w:r>
              <w:rPr>
                <w:rFonts w:hint="default" w:ascii="Times New Roman" w:hAnsi="Times New Roman" w:cs="Times New Roman"/>
                <w:color w:val="000000"/>
                <w:sz w:val="24"/>
                <w:highlight w:val="none"/>
                <w:u w:val="none"/>
                <w:lang w:val="en-US" w:eastAsia="zh-CN"/>
              </w:rPr>
              <w:t>根据《广东省工业源挥发性有机物减排量核算方法（2023年修订版）》中表3.3-2集气罩收集效率为30%，则本项目集气罩收集效率为30%；</w:t>
            </w:r>
            <w:r>
              <w:rPr>
                <w:color w:val="auto"/>
                <w:sz w:val="24"/>
              </w:rPr>
              <w:t>收集后统一经</w:t>
            </w:r>
            <w:r>
              <w:rPr>
                <w:rFonts w:hint="eastAsia"/>
                <w:color w:val="auto"/>
                <w:sz w:val="24"/>
              </w:rPr>
              <w:t>“</w:t>
            </w:r>
            <w:r>
              <w:rPr>
                <w:color w:val="auto"/>
                <w:sz w:val="24"/>
              </w:rPr>
              <w:t>二级活性炭吸附装置</w:t>
            </w:r>
            <w:r>
              <w:rPr>
                <w:rFonts w:hint="eastAsia"/>
                <w:color w:val="auto"/>
                <w:sz w:val="24"/>
              </w:rPr>
              <w:t>”</w:t>
            </w:r>
            <w:r>
              <w:rPr>
                <w:color w:val="auto"/>
                <w:sz w:val="24"/>
              </w:rPr>
              <w:t>处理后由1根</w:t>
            </w:r>
            <w:r>
              <w:rPr>
                <w:rFonts w:hint="eastAsia"/>
                <w:color w:val="auto"/>
                <w:sz w:val="24"/>
              </w:rPr>
              <w:t>15</w:t>
            </w:r>
            <w:r>
              <w:rPr>
                <w:color w:val="auto"/>
                <w:sz w:val="24"/>
              </w:rPr>
              <w:t>m高排气筒（G1）排放</w:t>
            </w:r>
            <w:r>
              <w:rPr>
                <w:rFonts w:hint="eastAsia"/>
                <w:color w:val="auto"/>
                <w:sz w:val="24"/>
                <w:lang w:eastAsia="zh-CN"/>
              </w:rPr>
              <w:t>。</w:t>
            </w:r>
          </w:p>
          <w:p w14:paraId="75C9EB8D">
            <w:pPr>
              <w:widowControl/>
              <w:spacing w:line="360" w:lineRule="auto"/>
              <w:ind w:firstLine="480" w:firstLineChars="200"/>
              <w:jc w:val="left"/>
              <w:rPr>
                <w:rFonts w:hint="eastAsia"/>
                <w:color w:val="auto"/>
                <w:sz w:val="24"/>
                <w:szCs w:val="22"/>
              </w:rPr>
            </w:pPr>
            <w:r>
              <w:rPr>
                <w:rFonts w:hint="eastAsia"/>
                <w:color w:val="auto"/>
                <w:sz w:val="24"/>
                <w:lang w:val="en-US" w:eastAsia="zh-CN"/>
              </w:rPr>
              <w:t>参考</w:t>
            </w:r>
            <w:r>
              <w:rPr>
                <w:rFonts w:hint="eastAsia"/>
                <w:color w:val="auto"/>
                <w:sz w:val="24"/>
                <w:szCs w:val="22"/>
                <w:lang w:eastAsia="zh-CN"/>
              </w:rPr>
              <w:t>《</w:t>
            </w:r>
            <w:r>
              <w:rPr>
                <w:rFonts w:hint="eastAsia"/>
                <w:color w:val="auto"/>
                <w:sz w:val="24"/>
                <w:szCs w:val="22"/>
                <w:lang w:val="en-US" w:eastAsia="zh-CN"/>
              </w:rPr>
              <w:t>广东省印刷行业挥发性有机化合物废气治理技术指南</w:t>
            </w:r>
            <w:r>
              <w:rPr>
                <w:rFonts w:hint="eastAsia"/>
                <w:color w:val="auto"/>
                <w:sz w:val="24"/>
                <w:szCs w:val="22"/>
                <w:lang w:eastAsia="zh-CN"/>
              </w:rPr>
              <w:t>》、《</w:t>
            </w:r>
            <w:r>
              <w:rPr>
                <w:rFonts w:hint="eastAsia"/>
                <w:color w:val="auto"/>
                <w:sz w:val="24"/>
                <w:szCs w:val="22"/>
                <w:lang w:val="en-US" w:eastAsia="zh-CN"/>
              </w:rPr>
              <w:t>广东省家具制造行业挥发性有机废气治理技术指南</w:t>
            </w:r>
            <w:r>
              <w:rPr>
                <w:rFonts w:hint="eastAsia"/>
                <w:color w:val="auto"/>
                <w:sz w:val="24"/>
                <w:szCs w:val="22"/>
                <w:lang w:eastAsia="zh-CN"/>
              </w:rPr>
              <w:t>》，</w:t>
            </w:r>
            <w:r>
              <w:rPr>
                <w:rFonts w:hint="eastAsia"/>
                <w:color w:val="auto"/>
                <w:sz w:val="24"/>
                <w:szCs w:val="22"/>
                <w:lang w:val="en-US" w:eastAsia="zh-CN"/>
              </w:rPr>
              <w:t>吸附法对有机废气处理效率为50-80%，本项目单级活性炭处理效率为50%，则二级活性炭处理效率=1-（1-50）*（1-50）=75%，则</w:t>
            </w:r>
            <w:r>
              <w:rPr>
                <w:color w:val="auto"/>
                <w:sz w:val="24"/>
              </w:rPr>
              <w:t>本项目有机废气处理效率为</w:t>
            </w:r>
            <w:r>
              <w:rPr>
                <w:rFonts w:hint="eastAsia"/>
                <w:color w:val="auto"/>
                <w:sz w:val="24"/>
                <w:lang w:val="en-US" w:eastAsia="zh-CN"/>
              </w:rPr>
              <w:t>75</w:t>
            </w:r>
            <w:r>
              <w:rPr>
                <w:color w:val="auto"/>
                <w:sz w:val="24"/>
              </w:rPr>
              <w:t>%。</w:t>
            </w:r>
          </w:p>
          <w:p w14:paraId="3D43AE15">
            <w:pPr>
              <w:keepLines/>
              <w:widowControl/>
              <w:wordWrap w:val="0"/>
              <w:topLinePunct/>
              <w:adjustRightInd w:val="0"/>
              <w:snapToGrid w:val="0"/>
              <w:spacing w:line="360" w:lineRule="auto"/>
              <w:ind w:firstLine="480"/>
              <w:rPr>
                <w:b/>
                <w:bCs/>
                <w:color w:val="auto"/>
                <w:sz w:val="24"/>
                <w:szCs w:val="22"/>
              </w:rPr>
            </w:pPr>
            <w:r>
              <w:rPr>
                <w:b/>
                <w:bCs/>
                <w:color w:val="auto"/>
                <w:sz w:val="24"/>
                <w:szCs w:val="22"/>
              </w:rPr>
              <w:t>收集合理性分析：</w:t>
            </w:r>
          </w:p>
          <w:p w14:paraId="1A87FECF">
            <w:pPr>
              <w:tabs>
                <w:tab w:val="left" w:pos="960"/>
              </w:tabs>
              <w:adjustRightInd w:val="0"/>
              <w:snapToGrid w:val="0"/>
              <w:spacing w:line="360" w:lineRule="auto"/>
              <w:ind w:firstLine="480"/>
              <w:rPr>
                <w:rFonts w:hint="default" w:ascii="Times New Roman" w:hAnsi="Times New Roman" w:eastAsia="宋体" w:cs="Times New Roman"/>
                <w:bCs/>
                <w:color w:val="000000"/>
                <w:sz w:val="24"/>
                <w:highlight w:val="none"/>
                <w:lang w:eastAsia="zh-CN"/>
              </w:rPr>
            </w:pPr>
            <w:r>
              <w:rPr>
                <w:rFonts w:hint="default" w:ascii="Times New Roman" w:hAnsi="Times New Roman" w:eastAsia="宋体" w:cs="Times New Roman"/>
                <w:b/>
                <w:bCs w:val="0"/>
                <w:color w:val="000000"/>
                <w:sz w:val="24"/>
                <w:highlight w:val="none"/>
                <w:lang w:val="en-US" w:eastAsia="zh-CN"/>
              </w:rPr>
              <w:t>集气罩收集：</w:t>
            </w:r>
            <w:r>
              <w:rPr>
                <w:rFonts w:hint="default" w:ascii="Times New Roman" w:hAnsi="Times New Roman" w:eastAsia="宋体" w:cs="Times New Roman"/>
                <w:bCs/>
                <w:color w:val="000000"/>
                <w:sz w:val="24"/>
                <w:highlight w:val="none"/>
                <w:lang w:eastAsia="zh-CN"/>
              </w:rPr>
              <w:t>风量设计参考《三废处理工程技术手册》（废气卷），计算公式为：</w:t>
            </w:r>
          </w:p>
          <w:p w14:paraId="5B8EBBE7">
            <w:pPr>
              <w:tabs>
                <w:tab w:val="left" w:pos="960"/>
              </w:tabs>
              <w:adjustRightInd w:val="0"/>
              <w:snapToGrid w:val="0"/>
              <w:spacing w:line="360" w:lineRule="auto"/>
              <w:ind w:firstLine="480"/>
              <w:jc w:val="center"/>
              <w:rPr>
                <w:rFonts w:hint="default" w:ascii="Times New Roman" w:hAnsi="Times New Roman" w:eastAsia="宋体" w:cs="Times New Roman"/>
                <w:bCs/>
                <w:color w:val="000000"/>
                <w:sz w:val="24"/>
                <w:highlight w:val="none"/>
                <w:lang w:eastAsia="zh-CN"/>
              </w:rPr>
            </w:pPr>
            <w:r>
              <w:rPr>
                <w:rFonts w:hint="default" w:ascii="Times New Roman" w:hAnsi="Times New Roman" w:eastAsia="宋体" w:cs="Times New Roman"/>
                <w:bCs/>
                <w:color w:val="000000"/>
                <w:sz w:val="24"/>
                <w:highlight w:val="none"/>
                <w:lang w:eastAsia="zh-CN"/>
              </w:rPr>
              <w:t>Q=0.75（10×X</w:t>
            </w:r>
            <w:r>
              <w:rPr>
                <w:rFonts w:hint="default" w:ascii="Times New Roman" w:hAnsi="Times New Roman" w:eastAsia="宋体" w:cs="Times New Roman"/>
                <w:bCs/>
                <w:color w:val="000000"/>
                <w:sz w:val="24"/>
                <w:highlight w:val="none"/>
                <w:vertAlign w:val="superscript"/>
                <w:lang w:eastAsia="zh-CN"/>
              </w:rPr>
              <w:t>2</w:t>
            </w:r>
            <w:r>
              <w:rPr>
                <w:rFonts w:hint="default" w:ascii="Times New Roman" w:hAnsi="Times New Roman" w:eastAsia="宋体" w:cs="Times New Roman"/>
                <w:bCs/>
                <w:color w:val="000000"/>
                <w:sz w:val="24"/>
                <w:highlight w:val="none"/>
                <w:lang w:eastAsia="zh-CN"/>
              </w:rPr>
              <w:t>+A）×Vx</w:t>
            </w:r>
          </w:p>
          <w:p w14:paraId="2A780D92">
            <w:pPr>
              <w:tabs>
                <w:tab w:val="left" w:pos="960"/>
              </w:tabs>
              <w:adjustRightInd w:val="0"/>
              <w:snapToGrid w:val="0"/>
              <w:spacing w:line="360" w:lineRule="auto"/>
              <w:ind w:firstLine="480"/>
              <w:rPr>
                <w:rFonts w:hint="default" w:ascii="Times New Roman" w:hAnsi="Times New Roman" w:eastAsia="宋体" w:cs="Times New Roman"/>
                <w:bCs/>
                <w:color w:val="000000"/>
                <w:sz w:val="24"/>
                <w:highlight w:val="none"/>
                <w:lang w:eastAsia="zh-CN"/>
              </w:rPr>
            </w:pPr>
            <w:r>
              <w:rPr>
                <w:rFonts w:hint="default" w:ascii="Times New Roman" w:hAnsi="Times New Roman" w:eastAsia="宋体" w:cs="Times New Roman"/>
                <w:bCs/>
                <w:color w:val="000000"/>
                <w:sz w:val="24"/>
                <w:highlight w:val="none"/>
                <w:lang w:eastAsia="zh-CN"/>
              </w:rPr>
              <w:t>Q：集气罩排风量m</w:t>
            </w:r>
            <w:r>
              <w:rPr>
                <w:rFonts w:hint="default" w:ascii="Times New Roman" w:hAnsi="Times New Roman" w:eastAsia="宋体" w:cs="Times New Roman"/>
                <w:bCs/>
                <w:color w:val="000000"/>
                <w:sz w:val="24"/>
                <w:highlight w:val="none"/>
                <w:vertAlign w:val="superscript"/>
                <w:lang w:eastAsia="zh-CN"/>
              </w:rPr>
              <w:t>3</w:t>
            </w:r>
            <w:r>
              <w:rPr>
                <w:rFonts w:hint="default" w:ascii="Times New Roman" w:hAnsi="Times New Roman" w:eastAsia="宋体" w:cs="Times New Roman"/>
                <w:bCs/>
                <w:color w:val="000000"/>
                <w:sz w:val="24"/>
                <w:highlight w:val="none"/>
                <w:lang w:eastAsia="zh-CN"/>
              </w:rPr>
              <w:t>/s；</w:t>
            </w:r>
          </w:p>
          <w:p w14:paraId="6DEE11DE">
            <w:pPr>
              <w:tabs>
                <w:tab w:val="left" w:pos="960"/>
              </w:tabs>
              <w:adjustRightInd w:val="0"/>
              <w:snapToGrid w:val="0"/>
              <w:spacing w:line="360" w:lineRule="auto"/>
              <w:ind w:firstLine="480"/>
              <w:rPr>
                <w:rFonts w:hint="default" w:ascii="Times New Roman" w:hAnsi="Times New Roman" w:eastAsia="宋体" w:cs="Times New Roman"/>
                <w:bCs/>
                <w:color w:val="000000"/>
                <w:sz w:val="24"/>
                <w:highlight w:val="none"/>
                <w:lang w:eastAsia="zh-CN"/>
              </w:rPr>
            </w:pPr>
            <w:r>
              <w:rPr>
                <w:rFonts w:hint="default" w:ascii="Times New Roman" w:hAnsi="Times New Roman" w:eastAsia="宋体" w:cs="Times New Roman"/>
                <w:bCs/>
                <w:color w:val="000000"/>
                <w:sz w:val="24"/>
                <w:highlight w:val="none"/>
                <w:lang w:eastAsia="zh-CN"/>
              </w:rPr>
              <w:t>X：污染物产生点至罩口的距离，m，项目取0.</w:t>
            </w:r>
            <w:r>
              <w:rPr>
                <w:rFonts w:hint="eastAsia" w:ascii="Times New Roman" w:hAnsi="Times New Roman" w:eastAsia="宋体" w:cs="Times New Roman"/>
                <w:bCs/>
                <w:color w:val="000000"/>
                <w:sz w:val="24"/>
                <w:highlight w:val="none"/>
                <w:lang w:val="en-US" w:eastAsia="zh-CN"/>
              </w:rPr>
              <w:t>2</w:t>
            </w:r>
            <w:r>
              <w:rPr>
                <w:rFonts w:hint="default" w:ascii="Times New Roman" w:hAnsi="Times New Roman" w:eastAsia="宋体" w:cs="Times New Roman"/>
                <w:bCs/>
                <w:color w:val="000000"/>
                <w:sz w:val="24"/>
                <w:highlight w:val="none"/>
                <w:lang w:eastAsia="zh-CN"/>
              </w:rPr>
              <w:t>m；</w:t>
            </w:r>
          </w:p>
          <w:p w14:paraId="2D5D200A">
            <w:pPr>
              <w:tabs>
                <w:tab w:val="left" w:pos="960"/>
              </w:tabs>
              <w:adjustRightInd w:val="0"/>
              <w:snapToGrid w:val="0"/>
              <w:spacing w:line="360" w:lineRule="auto"/>
              <w:ind w:firstLine="480"/>
              <w:rPr>
                <w:rFonts w:hint="default" w:ascii="Times New Roman" w:hAnsi="Times New Roman" w:eastAsia="宋体" w:cs="Times New Roman"/>
                <w:bCs/>
                <w:color w:val="000000"/>
                <w:sz w:val="24"/>
                <w:highlight w:val="none"/>
                <w:lang w:eastAsia="zh-CN"/>
              </w:rPr>
            </w:pPr>
            <w:r>
              <w:rPr>
                <w:rFonts w:hint="default" w:ascii="Times New Roman" w:hAnsi="Times New Roman" w:eastAsia="宋体" w:cs="Times New Roman"/>
                <w:bCs/>
                <w:color w:val="000000"/>
                <w:sz w:val="24"/>
                <w:highlight w:val="none"/>
                <w:lang w:eastAsia="zh-CN"/>
              </w:rPr>
              <w:t>A：罩口面积，m</w:t>
            </w:r>
            <w:r>
              <w:rPr>
                <w:rFonts w:hint="default" w:ascii="Times New Roman" w:hAnsi="Times New Roman" w:eastAsia="宋体" w:cs="Times New Roman"/>
                <w:bCs/>
                <w:color w:val="000000"/>
                <w:sz w:val="24"/>
                <w:highlight w:val="none"/>
                <w:vertAlign w:val="superscript"/>
                <w:lang w:eastAsia="zh-CN"/>
              </w:rPr>
              <w:t>2</w:t>
            </w:r>
            <w:r>
              <w:rPr>
                <w:rFonts w:hint="default" w:ascii="Times New Roman" w:hAnsi="Times New Roman" w:eastAsia="宋体" w:cs="Times New Roman"/>
                <w:bCs/>
                <w:color w:val="000000"/>
                <w:sz w:val="24"/>
                <w:highlight w:val="none"/>
                <w:lang w:eastAsia="zh-CN"/>
              </w:rPr>
              <w:t>；每个罩子面积约为</w:t>
            </w:r>
            <w:r>
              <w:rPr>
                <w:rFonts w:hint="default" w:ascii="Times New Roman" w:hAnsi="Times New Roman" w:cs="Times New Roman"/>
                <w:bCs/>
                <w:color w:val="000000"/>
                <w:sz w:val="24"/>
                <w:highlight w:val="none"/>
                <w:lang w:val="en-US" w:eastAsia="zh-CN"/>
              </w:rPr>
              <w:t>0.</w:t>
            </w:r>
            <w:r>
              <w:rPr>
                <w:rFonts w:hint="eastAsia" w:ascii="Times New Roman" w:hAnsi="Times New Roman" w:cs="Times New Roman"/>
                <w:bCs/>
                <w:color w:val="000000"/>
                <w:sz w:val="24"/>
                <w:highlight w:val="none"/>
                <w:lang w:val="en-US" w:eastAsia="zh-CN"/>
              </w:rPr>
              <w:t>2</w:t>
            </w:r>
            <w:r>
              <w:rPr>
                <w:rFonts w:hint="default" w:ascii="Times New Roman" w:hAnsi="Times New Roman" w:eastAsia="宋体" w:cs="Times New Roman"/>
                <w:bCs/>
                <w:color w:val="000000"/>
                <w:sz w:val="24"/>
                <w:highlight w:val="none"/>
                <w:lang w:eastAsia="zh-CN"/>
              </w:rPr>
              <w:t>m</w:t>
            </w:r>
            <w:r>
              <w:rPr>
                <w:rFonts w:hint="default" w:ascii="Times New Roman" w:hAnsi="Times New Roman" w:eastAsia="宋体" w:cs="Times New Roman"/>
                <w:bCs/>
                <w:color w:val="000000"/>
                <w:sz w:val="24"/>
                <w:highlight w:val="none"/>
                <w:vertAlign w:val="superscript"/>
                <w:lang w:eastAsia="zh-CN"/>
              </w:rPr>
              <w:t>2</w:t>
            </w:r>
            <w:r>
              <w:rPr>
                <w:rFonts w:hint="default" w:ascii="Times New Roman" w:hAnsi="Times New Roman" w:eastAsia="宋体" w:cs="Times New Roman"/>
                <w:bCs/>
                <w:color w:val="000000"/>
                <w:sz w:val="24"/>
                <w:highlight w:val="none"/>
                <w:lang w:eastAsia="zh-CN"/>
              </w:rPr>
              <w:t>；</w:t>
            </w:r>
          </w:p>
          <w:p w14:paraId="2BFC0E58">
            <w:pPr>
              <w:tabs>
                <w:tab w:val="left" w:pos="960"/>
              </w:tabs>
              <w:adjustRightInd w:val="0"/>
              <w:snapToGrid w:val="0"/>
              <w:spacing w:line="360" w:lineRule="auto"/>
              <w:ind w:firstLine="480"/>
              <w:rPr>
                <w:rFonts w:hint="default" w:ascii="Times New Roman" w:hAnsi="Times New Roman" w:eastAsia="宋体" w:cs="Times New Roman"/>
                <w:bCs/>
                <w:color w:val="000000"/>
                <w:sz w:val="24"/>
                <w:highlight w:val="none"/>
                <w:lang w:val="en-US" w:eastAsia="zh-CN"/>
              </w:rPr>
            </w:pPr>
            <w:r>
              <w:rPr>
                <w:rFonts w:hint="default" w:ascii="Times New Roman" w:hAnsi="Times New Roman" w:eastAsia="宋体" w:cs="Times New Roman"/>
                <w:bCs/>
                <w:color w:val="000000"/>
                <w:sz w:val="24"/>
                <w:highlight w:val="none"/>
                <w:lang w:eastAsia="zh-CN"/>
              </w:rPr>
              <w:t>Vx：最小控制风速，m/s；项目取0.</w:t>
            </w:r>
            <w:r>
              <w:rPr>
                <w:rFonts w:hint="default" w:ascii="Times New Roman" w:hAnsi="Times New Roman" w:eastAsia="宋体" w:cs="Times New Roman"/>
                <w:bCs/>
                <w:color w:val="000000"/>
                <w:sz w:val="24"/>
                <w:highlight w:val="none"/>
                <w:lang w:val="en-US" w:eastAsia="zh-CN"/>
              </w:rPr>
              <w:t>3</w:t>
            </w:r>
            <w:r>
              <w:rPr>
                <w:rFonts w:hint="default" w:ascii="Times New Roman" w:hAnsi="Times New Roman" w:eastAsia="宋体" w:cs="Times New Roman"/>
                <w:bCs/>
                <w:color w:val="000000"/>
                <w:sz w:val="24"/>
                <w:highlight w:val="none"/>
                <w:lang w:eastAsia="zh-CN"/>
              </w:rPr>
              <w:t>m</w:t>
            </w:r>
            <w:r>
              <w:rPr>
                <w:rFonts w:hint="default" w:ascii="Times New Roman" w:hAnsi="Times New Roman" w:eastAsia="宋体" w:cs="Times New Roman"/>
                <w:bCs/>
                <w:color w:val="000000"/>
                <w:sz w:val="24"/>
                <w:highlight w:val="none"/>
                <w:lang w:val="en-US" w:eastAsia="zh-CN"/>
              </w:rPr>
              <w:t>/s</w:t>
            </w:r>
          </w:p>
          <w:p w14:paraId="277B2504">
            <w:pPr>
              <w:keepLines/>
              <w:widowControl/>
              <w:wordWrap w:val="0"/>
              <w:topLinePunct/>
              <w:adjustRightInd w:val="0"/>
              <w:snapToGrid w:val="0"/>
              <w:spacing w:line="360" w:lineRule="auto"/>
              <w:ind w:firstLine="48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Cs/>
                <w:color w:val="000000"/>
                <w:sz w:val="24"/>
                <w:highlight w:val="none"/>
                <w:lang w:eastAsia="zh-CN"/>
              </w:rPr>
              <w:t>故单个外部集气罩所需风量为</w:t>
            </w:r>
            <w:r>
              <w:rPr>
                <w:rFonts w:hint="eastAsia" w:ascii="Times New Roman" w:hAnsi="Times New Roman" w:cs="Times New Roman"/>
                <w:bCs/>
                <w:color w:val="000000"/>
                <w:sz w:val="24"/>
                <w:highlight w:val="none"/>
                <w:lang w:val="en-US" w:eastAsia="zh-CN"/>
              </w:rPr>
              <w:t>486</w:t>
            </w:r>
            <w:r>
              <w:rPr>
                <w:rFonts w:hint="default" w:ascii="Times New Roman" w:hAnsi="Times New Roman" w:eastAsia="宋体" w:cs="Times New Roman"/>
                <w:bCs/>
                <w:color w:val="000000"/>
                <w:sz w:val="24"/>
                <w:highlight w:val="none"/>
                <w:lang w:eastAsia="zh-CN"/>
              </w:rPr>
              <w:t>m</w:t>
            </w:r>
            <w:r>
              <w:rPr>
                <w:rFonts w:hint="default" w:ascii="Times New Roman" w:hAnsi="Times New Roman" w:eastAsia="宋体" w:cs="Times New Roman"/>
                <w:bCs/>
                <w:color w:val="000000"/>
                <w:sz w:val="24"/>
                <w:highlight w:val="none"/>
                <w:vertAlign w:val="superscript"/>
                <w:lang w:eastAsia="zh-CN"/>
              </w:rPr>
              <w:t>3</w:t>
            </w:r>
            <w:r>
              <w:rPr>
                <w:rFonts w:hint="default" w:ascii="Times New Roman" w:hAnsi="Times New Roman" w:eastAsia="宋体" w:cs="Times New Roman"/>
                <w:bCs/>
                <w:color w:val="000000"/>
                <w:sz w:val="24"/>
                <w:highlight w:val="none"/>
                <w:lang w:eastAsia="zh-CN"/>
              </w:rPr>
              <w:t>/h。本项目</w:t>
            </w:r>
            <w:r>
              <w:rPr>
                <w:rFonts w:hint="default" w:ascii="Times New Roman" w:hAnsi="Times New Roman" w:eastAsia="宋体" w:cs="Times New Roman"/>
                <w:bCs/>
                <w:color w:val="000000"/>
                <w:sz w:val="24"/>
                <w:highlight w:val="none"/>
                <w:lang w:val="en-US" w:eastAsia="zh-CN"/>
              </w:rPr>
              <w:t>每台</w:t>
            </w:r>
            <w:r>
              <w:rPr>
                <w:rFonts w:hint="default" w:ascii="Times New Roman" w:hAnsi="Times New Roman" w:eastAsia="宋体" w:cs="Times New Roman"/>
                <w:color w:val="000000"/>
                <w:sz w:val="24"/>
                <w:highlight w:val="none"/>
                <w:lang w:val="en-US" w:eastAsia="zh-CN"/>
              </w:rPr>
              <w:t>注塑机</w:t>
            </w:r>
            <w:r>
              <w:rPr>
                <w:rFonts w:hint="default" w:ascii="Times New Roman" w:hAnsi="Times New Roman" w:eastAsia="宋体" w:cs="Times New Roman"/>
                <w:bCs/>
                <w:color w:val="000000"/>
                <w:sz w:val="24"/>
                <w:highlight w:val="none"/>
                <w:lang w:val="en-US" w:eastAsia="zh-CN"/>
              </w:rPr>
              <w:t>设1个集气罩，共设有</w:t>
            </w:r>
            <w:r>
              <w:rPr>
                <w:rFonts w:hint="eastAsia" w:ascii="Times New Roman" w:hAnsi="Times New Roman" w:eastAsia="宋体" w:cs="Times New Roman"/>
                <w:bCs/>
                <w:color w:val="000000"/>
                <w:sz w:val="24"/>
                <w:highlight w:val="none"/>
                <w:lang w:val="en-US" w:eastAsia="zh-CN"/>
              </w:rPr>
              <w:t>1</w:t>
            </w:r>
            <w:r>
              <w:rPr>
                <w:rFonts w:hint="default" w:ascii="Times New Roman" w:hAnsi="Times New Roman" w:eastAsia="宋体" w:cs="Times New Roman"/>
                <w:bCs/>
                <w:color w:val="000000"/>
                <w:sz w:val="24"/>
                <w:highlight w:val="none"/>
                <w:lang w:val="en-US" w:eastAsia="zh-CN"/>
              </w:rPr>
              <w:t>6台注塑机，</w:t>
            </w:r>
            <w:r>
              <w:rPr>
                <w:rFonts w:hint="eastAsia" w:ascii="Times New Roman" w:hAnsi="Times New Roman" w:eastAsia="宋体" w:cs="Times New Roman"/>
                <w:color w:val="auto"/>
                <w:sz w:val="24"/>
                <w:highlight w:val="none"/>
                <w:lang w:val="en-US" w:eastAsia="zh-CN"/>
              </w:rPr>
              <w:t>则烘</w:t>
            </w:r>
            <w:r>
              <w:rPr>
                <w:rFonts w:hint="eastAsia" w:cs="Times New Roman"/>
                <w:color w:val="auto"/>
                <w:sz w:val="24"/>
                <w:highlight w:val="none"/>
                <w:lang w:val="en-US" w:eastAsia="zh-CN"/>
              </w:rPr>
              <w:t>料</w:t>
            </w:r>
            <w:r>
              <w:rPr>
                <w:rFonts w:hint="eastAsia" w:ascii="Times New Roman" w:hAnsi="Times New Roman" w:eastAsia="宋体" w:cs="Times New Roman"/>
                <w:color w:val="auto"/>
                <w:sz w:val="24"/>
                <w:highlight w:val="none"/>
                <w:lang w:val="en-US" w:eastAsia="zh-CN"/>
              </w:rPr>
              <w:t>、注塑</w:t>
            </w:r>
            <w:r>
              <w:rPr>
                <w:rFonts w:hint="eastAsia" w:cs="Times New Roman"/>
                <w:color w:val="auto"/>
                <w:sz w:val="24"/>
                <w:highlight w:val="none"/>
                <w:lang w:val="en-US" w:eastAsia="zh-CN"/>
              </w:rPr>
              <w:t>成型</w:t>
            </w:r>
            <w:r>
              <w:rPr>
                <w:rFonts w:hint="eastAsia" w:ascii="Times New Roman" w:hAnsi="Times New Roman" w:eastAsia="宋体" w:cs="Times New Roman"/>
                <w:color w:val="auto"/>
                <w:sz w:val="24"/>
                <w:highlight w:val="none"/>
                <w:lang w:val="en-US" w:eastAsia="zh-CN"/>
              </w:rPr>
              <w:t>工序车间所需风量为7776m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/h；</w:t>
            </w:r>
            <w:r>
              <w:rPr>
                <w:rFonts w:hint="eastAsia" w:ascii="Times New Roman" w:hAnsi="Times New Roman" w:eastAsia="宋体" w:cs="Times New Roman"/>
                <w:bCs/>
                <w:color w:val="auto"/>
                <w:sz w:val="24"/>
                <w:highlight w:val="none"/>
                <w:lang w:val="en-US" w:eastAsia="zh-CN"/>
              </w:rPr>
              <w:t>项目设计风量为8000m³/h。</w:t>
            </w:r>
            <w:r>
              <w:rPr>
                <w:rFonts w:hint="default" w:ascii="Times New Roman" w:hAnsi="Times New Roman" w:eastAsia="宋体" w:cs="Times New Roman"/>
                <w:color w:val="000000"/>
                <w:sz w:val="24"/>
                <w:highlight w:val="none"/>
                <w:lang w:eastAsia="zh-CN"/>
              </w:rPr>
              <w:t>产排情况见下表：</w:t>
            </w:r>
          </w:p>
          <w:p w14:paraId="4D873B67">
            <w:pPr>
              <w:pStyle w:val="95"/>
              <w:spacing w:before="120"/>
              <w:rPr>
                <w:rFonts w:hint="default" w:ascii="Times New Roman" w:hAnsi="Times New Roman" w:eastAsia="宋体" w:cs="Times New Roman"/>
                <w:b/>
                <w:bCs/>
                <w:color w:val="auto"/>
                <w:sz w:val="21"/>
                <w:szCs w:val="21"/>
                <w:highlight w:val="none"/>
              </w:rPr>
            </w:pPr>
            <w:r>
              <w:rPr>
                <w:rFonts w:hint="eastAsia"/>
                <w:b/>
                <w:color w:val="auto"/>
                <w:kern w:val="2"/>
                <w:sz w:val="21"/>
              </w:rPr>
              <w:t>烘料、注塑工序废气产排情况一览表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36"/>
              <w:gridCol w:w="710"/>
              <w:gridCol w:w="667"/>
              <w:gridCol w:w="774"/>
              <w:gridCol w:w="731"/>
              <w:gridCol w:w="829"/>
              <w:gridCol w:w="921"/>
              <w:gridCol w:w="733"/>
              <w:gridCol w:w="733"/>
              <w:gridCol w:w="830"/>
              <w:gridCol w:w="734"/>
              <w:gridCol w:w="737"/>
            </w:tblGrid>
            <w:tr w14:paraId="6D96F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dxa"/>
                  <w:vMerge w:val="restart"/>
                  <w:shd w:val="clear" w:color="auto" w:fill="auto"/>
                  <w:vAlign w:val="center"/>
                </w:tcPr>
                <w:p w14:paraId="6B3018C1">
                  <w:pPr>
                    <w:widowControl/>
                    <w:jc w:val="center"/>
                    <w:rPr>
                      <w:rFonts w:hint="default" w:ascii="Times New Roman" w:hAnsi="Times New Roman" w:eastAsia="宋体" w:cs="Times New Roman"/>
                      <w:b/>
                      <w:color w:val="auto"/>
                      <w:kern w:val="0"/>
                      <w:sz w:val="18"/>
                      <w:szCs w:val="18"/>
                      <w:highlight w:val="none"/>
                      <w:lang w:eastAsia="zh-CN"/>
                    </w:rPr>
                  </w:pPr>
                  <w:r>
                    <w:rPr>
                      <w:rFonts w:hint="default" w:ascii="Times New Roman" w:hAnsi="Times New Roman" w:eastAsia="宋体" w:cs="Times New Roman"/>
                      <w:b/>
                      <w:color w:val="auto"/>
                      <w:kern w:val="0"/>
                      <w:sz w:val="18"/>
                      <w:szCs w:val="18"/>
                      <w:highlight w:val="none"/>
                      <w:lang w:eastAsia="zh-CN"/>
                    </w:rPr>
                    <w:t>排气筒</w:t>
                  </w:r>
                </w:p>
              </w:tc>
              <w:tc>
                <w:tcPr>
                  <w:tcW w:w="710" w:type="dxa"/>
                  <w:vMerge w:val="restart"/>
                  <w:shd w:val="clear" w:color="auto" w:fill="auto"/>
                  <w:vAlign w:val="center"/>
                </w:tcPr>
                <w:p w14:paraId="4B632EBF">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工序</w:t>
                  </w:r>
                </w:p>
              </w:tc>
              <w:tc>
                <w:tcPr>
                  <w:tcW w:w="667" w:type="dxa"/>
                  <w:vMerge w:val="restart"/>
                  <w:shd w:val="clear" w:color="auto" w:fill="auto"/>
                  <w:vAlign w:val="center"/>
                </w:tcPr>
                <w:p w14:paraId="67E115C0">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污染物</w:t>
                  </w:r>
                </w:p>
              </w:tc>
              <w:tc>
                <w:tcPr>
                  <w:tcW w:w="3255" w:type="dxa"/>
                  <w:gridSpan w:val="4"/>
                  <w:shd w:val="clear" w:color="auto" w:fill="auto"/>
                  <w:vAlign w:val="center"/>
                </w:tcPr>
                <w:p w14:paraId="5CB48737">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产生情况</w:t>
                  </w:r>
                </w:p>
              </w:tc>
              <w:tc>
                <w:tcPr>
                  <w:tcW w:w="2296" w:type="dxa"/>
                  <w:gridSpan w:val="3"/>
                  <w:shd w:val="clear" w:color="auto" w:fill="auto"/>
                  <w:vAlign w:val="center"/>
                </w:tcPr>
                <w:p w14:paraId="216674B0">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有组织</w:t>
                  </w:r>
                </w:p>
              </w:tc>
              <w:tc>
                <w:tcPr>
                  <w:tcW w:w="1471" w:type="dxa"/>
                  <w:gridSpan w:val="2"/>
                  <w:shd w:val="clear" w:color="auto" w:fill="auto"/>
                  <w:vAlign w:val="center"/>
                </w:tcPr>
                <w:p w14:paraId="008A2220">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无组织</w:t>
                  </w:r>
                </w:p>
              </w:tc>
            </w:tr>
            <w:tr w14:paraId="32C02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436" w:type="dxa"/>
                  <w:vMerge w:val="continue"/>
                  <w:shd w:val="clear" w:color="auto" w:fill="auto"/>
                  <w:vAlign w:val="center"/>
                </w:tcPr>
                <w:p w14:paraId="12A39474">
                  <w:pPr>
                    <w:widowControl/>
                    <w:jc w:val="center"/>
                    <w:rPr>
                      <w:rFonts w:hint="default" w:ascii="Times New Roman" w:hAnsi="Times New Roman" w:eastAsia="宋体" w:cs="Times New Roman"/>
                      <w:b/>
                      <w:color w:val="auto"/>
                      <w:kern w:val="0"/>
                      <w:sz w:val="18"/>
                      <w:szCs w:val="18"/>
                      <w:highlight w:val="none"/>
                    </w:rPr>
                  </w:pPr>
                </w:p>
              </w:tc>
              <w:tc>
                <w:tcPr>
                  <w:tcW w:w="710" w:type="dxa"/>
                  <w:vMerge w:val="continue"/>
                  <w:shd w:val="clear" w:color="auto" w:fill="auto"/>
                  <w:vAlign w:val="center"/>
                </w:tcPr>
                <w:p w14:paraId="5D9DCEC3">
                  <w:pPr>
                    <w:widowControl/>
                    <w:jc w:val="center"/>
                    <w:rPr>
                      <w:rFonts w:hint="default" w:ascii="Times New Roman" w:hAnsi="Times New Roman" w:eastAsia="宋体" w:cs="Times New Roman"/>
                      <w:b/>
                      <w:color w:val="auto"/>
                      <w:kern w:val="0"/>
                      <w:sz w:val="18"/>
                      <w:szCs w:val="18"/>
                      <w:highlight w:val="none"/>
                    </w:rPr>
                  </w:pPr>
                </w:p>
              </w:tc>
              <w:tc>
                <w:tcPr>
                  <w:tcW w:w="667" w:type="dxa"/>
                  <w:vMerge w:val="continue"/>
                  <w:shd w:val="clear" w:color="auto" w:fill="auto"/>
                  <w:vAlign w:val="center"/>
                </w:tcPr>
                <w:p w14:paraId="57A68C4C">
                  <w:pPr>
                    <w:widowControl/>
                    <w:jc w:val="center"/>
                    <w:rPr>
                      <w:rFonts w:hint="default" w:ascii="Times New Roman" w:hAnsi="Times New Roman" w:eastAsia="宋体" w:cs="Times New Roman"/>
                      <w:b/>
                      <w:color w:val="auto"/>
                      <w:kern w:val="0"/>
                      <w:sz w:val="18"/>
                      <w:szCs w:val="18"/>
                      <w:highlight w:val="none"/>
                    </w:rPr>
                  </w:pPr>
                </w:p>
              </w:tc>
              <w:tc>
                <w:tcPr>
                  <w:tcW w:w="774" w:type="dxa"/>
                  <w:shd w:val="clear" w:color="auto" w:fill="auto"/>
                  <w:vAlign w:val="center"/>
                </w:tcPr>
                <w:p w14:paraId="36943C53">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产生量t/a</w:t>
                  </w:r>
                </w:p>
              </w:tc>
              <w:tc>
                <w:tcPr>
                  <w:tcW w:w="731" w:type="dxa"/>
                  <w:shd w:val="clear" w:color="auto" w:fill="auto"/>
                  <w:vAlign w:val="center"/>
                </w:tcPr>
                <w:p w14:paraId="07F2DA01">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收集量t/a</w:t>
                  </w:r>
                </w:p>
              </w:tc>
              <w:tc>
                <w:tcPr>
                  <w:tcW w:w="829" w:type="dxa"/>
                  <w:shd w:val="clear" w:color="auto" w:fill="auto"/>
                  <w:vAlign w:val="center"/>
                </w:tcPr>
                <w:p w14:paraId="6349F05E">
                  <w:pPr>
                    <w:widowControl/>
                    <w:jc w:val="center"/>
                    <w:rPr>
                      <w:rFonts w:hint="default" w:ascii="Times New Roman" w:hAnsi="Times New Roman" w:eastAsia="宋体" w:cs="Times New Roman"/>
                      <w:b/>
                      <w:color w:val="auto"/>
                      <w:kern w:val="0"/>
                      <w:sz w:val="18"/>
                      <w:szCs w:val="18"/>
                      <w:highlight w:val="none"/>
                    </w:rPr>
                  </w:pPr>
                  <w:r>
                    <w:rPr>
                      <w:rFonts w:hint="eastAsia" w:ascii="Times New Roman" w:hAnsi="Times New Roman" w:eastAsia="宋体" w:cs="Times New Roman"/>
                      <w:b/>
                      <w:color w:val="auto"/>
                      <w:kern w:val="0"/>
                      <w:sz w:val="18"/>
                      <w:szCs w:val="18"/>
                      <w:highlight w:val="none"/>
                      <w:lang w:val="en-US" w:eastAsia="zh-CN"/>
                    </w:rPr>
                    <w:t>处理前</w:t>
                  </w:r>
                  <w:r>
                    <w:rPr>
                      <w:rFonts w:hint="default" w:ascii="Times New Roman" w:hAnsi="Times New Roman" w:eastAsia="宋体" w:cs="Times New Roman"/>
                      <w:b/>
                      <w:color w:val="auto"/>
                      <w:kern w:val="0"/>
                      <w:sz w:val="18"/>
                      <w:szCs w:val="18"/>
                      <w:highlight w:val="none"/>
                    </w:rPr>
                    <w:t>速率kg/h</w:t>
                  </w:r>
                </w:p>
              </w:tc>
              <w:tc>
                <w:tcPr>
                  <w:tcW w:w="921" w:type="dxa"/>
                  <w:shd w:val="clear" w:color="auto" w:fill="auto"/>
                  <w:vAlign w:val="center"/>
                </w:tcPr>
                <w:p w14:paraId="29B4CC62">
                  <w:pPr>
                    <w:jc w:val="center"/>
                    <w:rPr>
                      <w:rFonts w:hint="default" w:ascii="Times New Roman" w:hAnsi="Times New Roman" w:eastAsia="宋体" w:cs="Times New Roman"/>
                      <w:b/>
                      <w:color w:val="auto"/>
                      <w:kern w:val="0"/>
                      <w:sz w:val="18"/>
                      <w:szCs w:val="18"/>
                      <w:highlight w:val="none"/>
                    </w:rPr>
                  </w:pPr>
                  <w:r>
                    <w:rPr>
                      <w:rFonts w:hint="eastAsia" w:ascii="Times New Roman" w:hAnsi="Times New Roman" w:eastAsia="宋体" w:cs="Times New Roman"/>
                      <w:b/>
                      <w:color w:val="auto"/>
                      <w:kern w:val="0"/>
                      <w:sz w:val="18"/>
                      <w:szCs w:val="18"/>
                      <w:highlight w:val="none"/>
                      <w:lang w:val="en-US" w:eastAsia="zh-CN"/>
                    </w:rPr>
                    <w:t>处理前</w:t>
                  </w:r>
                  <w:r>
                    <w:rPr>
                      <w:rFonts w:hint="default" w:ascii="Times New Roman" w:hAnsi="Times New Roman" w:eastAsia="宋体" w:cs="Times New Roman"/>
                      <w:b/>
                      <w:color w:val="auto"/>
                      <w:kern w:val="0"/>
                      <w:sz w:val="18"/>
                      <w:szCs w:val="18"/>
                      <w:highlight w:val="none"/>
                    </w:rPr>
                    <w:t>浓度mg/m</w:t>
                  </w:r>
                  <w:r>
                    <w:rPr>
                      <w:rFonts w:hint="default" w:ascii="Times New Roman" w:hAnsi="Times New Roman" w:eastAsia="宋体" w:cs="Times New Roman"/>
                      <w:b/>
                      <w:color w:val="auto"/>
                      <w:kern w:val="0"/>
                      <w:sz w:val="18"/>
                      <w:szCs w:val="18"/>
                      <w:highlight w:val="none"/>
                      <w:vertAlign w:val="superscript"/>
                    </w:rPr>
                    <w:t>3</w:t>
                  </w:r>
                </w:p>
              </w:tc>
              <w:tc>
                <w:tcPr>
                  <w:tcW w:w="733" w:type="dxa"/>
                  <w:shd w:val="clear" w:color="auto" w:fill="auto"/>
                  <w:vAlign w:val="center"/>
                </w:tcPr>
                <w:p w14:paraId="041980C5">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排放量t/a</w:t>
                  </w:r>
                </w:p>
              </w:tc>
              <w:tc>
                <w:tcPr>
                  <w:tcW w:w="733" w:type="dxa"/>
                  <w:shd w:val="clear" w:color="auto" w:fill="auto"/>
                  <w:vAlign w:val="center"/>
                </w:tcPr>
                <w:p w14:paraId="4AAD2A82">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排放速率kg/h</w:t>
                  </w:r>
                </w:p>
              </w:tc>
              <w:tc>
                <w:tcPr>
                  <w:tcW w:w="830" w:type="dxa"/>
                  <w:shd w:val="clear" w:color="auto" w:fill="auto"/>
                  <w:vAlign w:val="center"/>
                </w:tcPr>
                <w:p w14:paraId="2EE05C5C">
                  <w:pPr>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排放浓度mg/m</w:t>
                  </w:r>
                  <w:r>
                    <w:rPr>
                      <w:rFonts w:hint="default" w:ascii="Times New Roman" w:hAnsi="Times New Roman" w:eastAsia="宋体" w:cs="Times New Roman"/>
                      <w:b/>
                      <w:color w:val="auto"/>
                      <w:kern w:val="0"/>
                      <w:sz w:val="18"/>
                      <w:szCs w:val="18"/>
                      <w:highlight w:val="none"/>
                      <w:vertAlign w:val="superscript"/>
                    </w:rPr>
                    <w:t>3</w:t>
                  </w:r>
                </w:p>
              </w:tc>
              <w:tc>
                <w:tcPr>
                  <w:tcW w:w="734" w:type="dxa"/>
                  <w:shd w:val="clear" w:color="auto" w:fill="auto"/>
                  <w:vAlign w:val="center"/>
                </w:tcPr>
                <w:p w14:paraId="1FDA9A84">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排放量t/a</w:t>
                  </w:r>
                </w:p>
              </w:tc>
              <w:tc>
                <w:tcPr>
                  <w:tcW w:w="737" w:type="dxa"/>
                  <w:shd w:val="clear" w:color="auto" w:fill="auto"/>
                  <w:vAlign w:val="center"/>
                </w:tcPr>
                <w:p w14:paraId="0CFA03AB">
                  <w:pPr>
                    <w:widowControl/>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排放速率kg/h</w:t>
                  </w:r>
                </w:p>
              </w:tc>
            </w:tr>
            <w:tr w14:paraId="33B5E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9" w:hRule="atLeast"/>
                <w:jc w:val="center"/>
              </w:trPr>
              <w:tc>
                <w:tcPr>
                  <w:tcW w:w="436" w:type="dxa"/>
                  <w:shd w:val="clear" w:color="auto" w:fill="auto"/>
                  <w:vAlign w:val="center"/>
                </w:tcPr>
                <w:p w14:paraId="6BDE8A93">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G1</w:t>
                  </w:r>
                </w:p>
              </w:tc>
              <w:tc>
                <w:tcPr>
                  <w:tcW w:w="710" w:type="dxa"/>
                  <w:shd w:val="clear" w:color="auto" w:fill="auto"/>
                  <w:vAlign w:val="center"/>
                </w:tcPr>
                <w:p w14:paraId="6AB276C1">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烘料、注塑废气</w:t>
                  </w:r>
                </w:p>
              </w:tc>
              <w:tc>
                <w:tcPr>
                  <w:tcW w:w="667" w:type="dxa"/>
                  <w:shd w:val="clear" w:color="auto" w:fill="auto"/>
                  <w:vAlign w:val="center"/>
                </w:tcPr>
                <w:p w14:paraId="360FA3AC">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非甲烷总烃</w:t>
                  </w:r>
                </w:p>
              </w:tc>
              <w:tc>
                <w:tcPr>
                  <w:tcW w:w="774" w:type="dxa"/>
                  <w:shd w:val="clear" w:color="auto" w:fill="auto"/>
                  <w:vAlign w:val="center"/>
                </w:tcPr>
                <w:p w14:paraId="3D7D4973">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0.0960</w:t>
                  </w:r>
                </w:p>
              </w:tc>
              <w:tc>
                <w:tcPr>
                  <w:tcW w:w="731" w:type="dxa"/>
                  <w:shd w:val="clear" w:color="auto" w:fill="auto"/>
                  <w:vAlign w:val="center"/>
                </w:tcPr>
                <w:p w14:paraId="09268306">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0.0288</w:t>
                  </w:r>
                </w:p>
              </w:tc>
              <w:tc>
                <w:tcPr>
                  <w:tcW w:w="829" w:type="dxa"/>
                  <w:shd w:val="clear" w:color="auto" w:fill="auto"/>
                  <w:vAlign w:val="center"/>
                </w:tcPr>
                <w:p w14:paraId="7171C98F">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0.0120 </w:t>
                  </w:r>
                </w:p>
              </w:tc>
              <w:tc>
                <w:tcPr>
                  <w:tcW w:w="921" w:type="dxa"/>
                  <w:shd w:val="clear" w:color="auto" w:fill="auto"/>
                  <w:vAlign w:val="center"/>
                </w:tcPr>
                <w:p w14:paraId="34B46645">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1.5000 </w:t>
                  </w:r>
                </w:p>
              </w:tc>
              <w:tc>
                <w:tcPr>
                  <w:tcW w:w="733" w:type="dxa"/>
                  <w:shd w:val="clear" w:color="auto" w:fill="auto"/>
                  <w:vAlign w:val="center"/>
                </w:tcPr>
                <w:p w14:paraId="16F2F34B">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0.0072 </w:t>
                  </w:r>
                </w:p>
              </w:tc>
              <w:tc>
                <w:tcPr>
                  <w:tcW w:w="733" w:type="dxa"/>
                  <w:shd w:val="clear" w:color="auto" w:fill="auto"/>
                  <w:vAlign w:val="center"/>
                </w:tcPr>
                <w:p w14:paraId="3BCF69BC">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0.0030 </w:t>
                  </w:r>
                </w:p>
              </w:tc>
              <w:tc>
                <w:tcPr>
                  <w:tcW w:w="830" w:type="dxa"/>
                  <w:shd w:val="clear" w:color="auto" w:fill="auto"/>
                  <w:vAlign w:val="center"/>
                </w:tcPr>
                <w:p w14:paraId="5806147D">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0.3750 </w:t>
                  </w:r>
                </w:p>
              </w:tc>
              <w:tc>
                <w:tcPr>
                  <w:tcW w:w="734" w:type="dxa"/>
                  <w:shd w:val="clear" w:color="auto" w:fill="auto"/>
                  <w:vAlign w:val="center"/>
                </w:tcPr>
                <w:p w14:paraId="29EBECEC">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0.0672 </w:t>
                  </w:r>
                </w:p>
              </w:tc>
              <w:tc>
                <w:tcPr>
                  <w:tcW w:w="737" w:type="dxa"/>
                  <w:shd w:val="clear" w:color="auto" w:fill="auto"/>
                  <w:vAlign w:val="center"/>
                </w:tcPr>
                <w:p w14:paraId="004EB175">
                  <w:pPr>
                    <w:widowControl/>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0.0280 </w:t>
                  </w:r>
                </w:p>
              </w:tc>
            </w:tr>
            <w:tr w14:paraId="504D3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5" w:type="dxa"/>
                  <w:gridSpan w:val="12"/>
                  <w:shd w:val="clear" w:color="auto" w:fill="auto"/>
                  <w:vAlign w:val="center"/>
                </w:tcPr>
                <w:p w14:paraId="431E3B39">
                  <w:pPr>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注：</w:t>
                  </w:r>
                  <w:r>
                    <w:rPr>
                      <w:rFonts w:hint="eastAsia" w:ascii="Times New Roman" w:hAnsi="Times New Roman" w:eastAsia="宋体" w:cs="Times New Roman"/>
                      <w:color w:val="auto"/>
                      <w:kern w:val="0"/>
                      <w:sz w:val="18"/>
                      <w:szCs w:val="18"/>
                      <w:highlight w:val="none"/>
                      <w:lang w:eastAsia="zh-CN"/>
                    </w:rPr>
                    <w:t>①</w:t>
                  </w:r>
                  <w:r>
                    <w:rPr>
                      <w:rFonts w:hint="eastAsia" w:cs="Times New Roman"/>
                      <w:color w:val="auto"/>
                      <w:kern w:val="0"/>
                      <w:sz w:val="18"/>
                      <w:szCs w:val="18"/>
                      <w:highlight w:val="none"/>
                      <w:lang w:val="en-US" w:eastAsia="zh-CN"/>
                    </w:rPr>
                    <w:t>集气罩收集，</w:t>
                  </w:r>
                  <w:r>
                    <w:rPr>
                      <w:rFonts w:hint="eastAsia" w:ascii="Times New Roman" w:hAnsi="Times New Roman" w:eastAsia="宋体" w:cs="Times New Roman"/>
                      <w:color w:val="auto"/>
                      <w:kern w:val="0"/>
                      <w:sz w:val="18"/>
                      <w:szCs w:val="18"/>
                      <w:highlight w:val="none"/>
                      <w:lang w:val="en-US" w:eastAsia="zh-CN"/>
                    </w:rPr>
                    <w:t>收集效率以</w:t>
                  </w:r>
                  <w:r>
                    <w:rPr>
                      <w:rFonts w:hint="eastAsia" w:cs="Times New Roman"/>
                      <w:color w:val="auto"/>
                      <w:kern w:val="0"/>
                      <w:sz w:val="18"/>
                      <w:szCs w:val="18"/>
                      <w:highlight w:val="none"/>
                      <w:lang w:val="en-US" w:eastAsia="zh-CN"/>
                    </w:rPr>
                    <w:t>30</w:t>
                  </w:r>
                  <w:r>
                    <w:rPr>
                      <w:rFonts w:hint="eastAsia" w:ascii="Times New Roman" w:hAnsi="Times New Roman" w:eastAsia="宋体" w:cs="Times New Roman"/>
                      <w:color w:val="auto"/>
                      <w:kern w:val="0"/>
                      <w:sz w:val="18"/>
                      <w:szCs w:val="18"/>
                      <w:highlight w:val="none"/>
                      <w:lang w:val="en-US" w:eastAsia="zh-CN"/>
                    </w:rPr>
                    <w:t>%计，</w:t>
                  </w:r>
                  <w:r>
                    <w:rPr>
                      <w:rFonts w:hint="eastAsia" w:cs="Times New Roman"/>
                      <w:color w:val="auto"/>
                      <w:kern w:val="0"/>
                      <w:sz w:val="18"/>
                      <w:szCs w:val="18"/>
                      <w:highlight w:val="none"/>
                      <w:lang w:val="en-US" w:eastAsia="zh-CN"/>
                    </w:rPr>
                    <w:t>有机废气</w:t>
                  </w:r>
                  <w:r>
                    <w:rPr>
                      <w:rFonts w:hint="eastAsia" w:ascii="Times New Roman" w:hAnsi="Times New Roman" w:eastAsia="宋体" w:cs="Times New Roman"/>
                      <w:color w:val="auto"/>
                      <w:kern w:val="0"/>
                      <w:sz w:val="18"/>
                      <w:szCs w:val="18"/>
                      <w:highlight w:val="none"/>
                      <w:lang w:eastAsia="zh-CN"/>
                    </w:rPr>
                    <w:t>的处理效率</w:t>
                  </w:r>
                  <w:r>
                    <w:rPr>
                      <w:rFonts w:hint="eastAsia" w:cs="Times New Roman"/>
                      <w:color w:val="auto"/>
                      <w:kern w:val="0"/>
                      <w:sz w:val="18"/>
                      <w:szCs w:val="18"/>
                      <w:highlight w:val="none"/>
                      <w:lang w:val="en-US" w:eastAsia="zh-CN"/>
                    </w:rPr>
                    <w:t>75</w:t>
                  </w:r>
                  <w:r>
                    <w:rPr>
                      <w:rFonts w:hint="eastAsia" w:ascii="Times New Roman" w:hAnsi="Times New Roman" w:eastAsia="宋体" w:cs="Times New Roman"/>
                      <w:color w:val="auto"/>
                      <w:kern w:val="0"/>
                      <w:sz w:val="18"/>
                      <w:szCs w:val="18"/>
                      <w:highlight w:val="none"/>
                      <w:lang w:val="en-US" w:eastAsia="zh-CN"/>
                    </w:rPr>
                    <w:t>%计，年</w:t>
                  </w:r>
                  <w:r>
                    <w:rPr>
                      <w:rFonts w:hint="default" w:ascii="Times New Roman" w:hAnsi="Times New Roman" w:eastAsia="宋体" w:cs="Times New Roman"/>
                      <w:color w:val="auto"/>
                      <w:kern w:val="0"/>
                      <w:sz w:val="18"/>
                      <w:szCs w:val="18"/>
                      <w:highlight w:val="none"/>
                    </w:rPr>
                    <w:t>工作时间</w:t>
                  </w:r>
                  <w:r>
                    <w:rPr>
                      <w:rFonts w:hint="eastAsia" w:ascii="Times New Roman" w:hAnsi="Times New Roman" w:eastAsia="宋体" w:cs="Times New Roman"/>
                      <w:color w:val="auto"/>
                      <w:kern w:val="0"/>
                      <w:sz w:val="18"/>
                      <w:szCs w:val="18"/>
                      <w:highlight w:val="none"/>
                      <w:lang w:eastAsia="zh-CN"/>
                    </w:rPr>
                    <w:t>均</w:t>
                  </w:r>
                  <w:r>
                    <w:rPr>
                      <w:rFonts w:hint="eastAsia" w:ascii="Times New Roman" w:hAnsi="Times New Roman" w:eastAsia="宋体" w:cs="Times New Roman"/>
                      <w:color w:val="auto"/>
                      <w:kern w:val="0"/>
                      <w:sz w:val="18"/>
                      <w:szCs w:val="18"/>
                      <w:highlight w:val="none"/>
                      <w:lang w:val="en-US" w:eastAsia="zh-CN"/>
                    </w:rPr>
                    <w:t>2400</w:t>
                  </w:r>
                  <w:r>
                    <w:rPr>
                      <w:rFonts w:hint="default" w:ascii="Times New Roman" w:hAnsi="Times New Roman" w:eastAsia="宋体" w:cs="Times New Roman"/>
                      <w:color w:val="auto"/>
                      <w:kern w:val="0"/>
                      <w:sz w:val="18"/>
                      <w:szCs w:val="18"/>
                      <w:highlight w:val="none"/>
                    </w:rPr>
                    <w:t>h</w:t>
                  </w:r>
                  <w:r>
                    <w:rPr>
                      <w:rFonts w:hint="eastAsia" w:ascii="Times New Roman" w:hAnsi="Times New Roman" w:eastAsia="宋体"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风量</w:t>
                  </w:r>
                  <w:r>
                    <w:rPr>
                      <w:rFonts w:hint="eastAsia" w:cs="Times New Roman"/>
                      <w:color w:val="auto"/>
                      <w:kern w:val="0"/>
                      <w:sz w:val="18"/>
                      <w:szCs w:val="18"/>
                      <w:highlight w:val="none"/>
                      <w:lang w:val="en-US" w:eastAsia="zh-CN"/>
                    </w:rPr>
                    <w:t>8</w:t>
                  </w:r>
                  <w:r>
                    <w:rPr>
                      <w:rFonts w:hint="eastAsia" w:ascii="Times New Roman" w:hAnsi="Times New Roman" w:eastAsia="宋体" w:cs="Times New Roman"/>
                      <w:color w:val="auto"/>
                      <w:kern w:val="0"/>
                      <w:sz w:val="18"/>
                      <w:szCs w:val="18"/>
                      <w:highlight w:val="none"/>
                      <w:lang w:val="en-US" w:eastAsia="zh-CN"/>
                    </w:rPr>
                    <w:t>000</w:t>
                  </w:r>
                  <w:r>
                    <w:rPr>
                      <w:rFonts w:hint="default" w:ascii="Times New Roman" w:hAnsi="Times New Roman" w:eastAsia="宋体" w:cs="Times New Roman"/>
                      <w:color w:val="auto"/>
                      <w:kern w:val="0"/>
                      <w:sz w:val="18"/>
                      <w:szCs w:val="18"/>
                      <w:highlight w:val="none"/>
                    </w:rPr>
                    <w:t>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/h</w:t>
                  </w:r>
                </w:p>
              </w:tc>
            </w:tr>
          </w:tbl>
          <w:p w14:paraId="25088BF3">
            <w:pPr>
              <w:pStyle w:val="26"/>
              <w:wordWrap w:val="0"/>
              <w:topLinePunct/>
              <w:spacing w:line="360" w:lineRule="auto"/>
              <w:ind w:firstLine="482" w:firstLineChars="200"/>
              <w:rPr>
                <w:rFonts w:hint="eastAsia"/>
                <w:b/>
                <w:bCs/>
                <w:color w:val="auto"/>
                <w:sz w:val="24"/>
                <w:szCs w:val="22"/>
              </w:rPr>
            </w:pPr>
            <w:r>
              <w:rPr>
                <w:rFonts w:hint="eastAsia"/>
                <w:b/>
                <w:bCs/>
                <w:color w:val="auto"/>
                <w:sz w:val="24"/>
                <w:szCs w:val="22"/>
              </w:rPr>
              <w:t>（</w:t>
            </w:r>
            <w:r>
              <w:rPr>
                <w:rFonts w:hint="eastAsia"/>
                <w:b/>
                <w:bCs/>
                <w:color w:val="auto"/>
                <w:sz w:val="24"/>
                <w:szCs w:val="22"/>
                <w:lang w:val="en-US" w:eastAsia="zh-CN"/>
              </w:rPr>
              <w:t>3</w:t>
            </w:r>
            <w:r>
              <w:rPr>
                <w:rFonts w:hint="eastAsia"/>
                <w:b/>
                <w:bCs/>
                <w:color w:val="auto"/>
                <w:sz w:val="24"/>
                <w:szCs w:val="22"/>
              </w:rPr>
              <w:t>）</w:t>
            </w:r>
            <w:r>
              <w:rPr>
                <w:rFonts w:hint="eastAsia"/>
                <w:b/>
                <w:bCs/>
                <w:color w:val="auto"/>
                <w:sz w:val="24"/>
                <w:szCs w:val="22"/>
                <w:lang w:val="en-US" w:eastAsia="zh-CN"/>
              </w:rPr>
              <w:t>激光打标</w:t>
            </w:r>
            <w:r>
              <w:rPr>
                <w:rFonts w:hint="eastAsia"/>
                <w:b/>
                <w:bCs/>
                <w:color w:val="auto"/>
                <w:sz w:val="24"/>
                <w:szCs w:val="22"/>
              </w:rPr>
              <w:t>废气</w:t>
            </w:r>
          </w:p>
          <w:p w14:paraId="21CC1CA0">
            <w:pPr>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eastAsia="zh-CN"/>
              </w:rPr>
              <w:t>项目打标</w:t>
            </w:r>
            <w:r>
              <w:rPr>
                <w:rFonts w:hint="eastAsia" w:ascii="Times New Roman" w:hAnsi="Times New Roman" w:eastAsia="宋体" w:cs="Times New Roman"/>
                <w:bCs/>
                <w:color w:val="auto"/>
                <w:sz w:val="24"/>
                <w:highlight w:val="none"/>
                <w:lang w:val="en-US" w:eastAsia="zh-CN"/>
              </w:rPr>
              <w:t>工序利用激光打标机对产品外壳雕刻过程产生粉尘</w:t>
            </w:r>
            <w:r>
              <w:rPr>
                <w:rFonts w:hint="eastAsia" w:ascii="Times New Roman" w:hAnsi="Times New Roman" w:eastAsia="宋体" w:cs="Times New Roman"/>
                <w:bCs/>
                <w:color w:val="auto"/>
                <w:sz w:val="24"/>
                <w:highlight w:val="none"/>
                <w:lang w:eastAsia="zh-CN"/>
              </w:rPr>
              <w:t>，</w:t>
            </w:r>
            <w:r>
              <w:rPr>
                <w:rFonts w:hint="eastAsia" w:ascii="Times New Roman" w:hAnsi="Times New Roman" w:eastAsia="宋体" w:cs="Times New Roman"/>
                <w:bCs/>
                <w:color w:val="auto"/>
                <w:sz w:val="24"/>
                <w:highlight w:val="none"/>
                <w:lang w:val="en-US" w:eastAsia="zh-CN"/>
              </w:rPr>
              <w:t>以颗粒物为表征</w:t>
            </w:r>
            <w:r>
              <w:rPr>
                <w:rFonts w:hint="eastAsia" w:ascii="Times New Roman" w:hAnsi="Times New Roman" w:eastAsia="宋体" w:cs="Times New Roman"/>
                <w:bCs/>
                <w:color w:val="auto"/>
                <w:sz w:val="24"/>
                <w:highlight w:val="none"/>
                <w:lang w:eastAsia="zh-CN"/>
              </w:rPr>
              <w:t>，</w:t>
            </w:r>
            <w:r>
              <w:rPr>
                <w:rFonts w:hint="eastAsia" w:ascii="Times New Roman" w:hAnsi="Times New Roman" w:eastAsia="宋体" w:cs="Times New Roman"/>
                <w:bCs/>
                <w:color w:val="auto"/>
                <w:sz w:val="24"/>
                <w:highlight w:val="none"/>
                <w:lang w:val="en-US" w:eastAsia="zh-CN"/>
              </w:rPr>
              <w:t>由于打标加工面积很小，粉尘产生量较少</w:t>
            </w:r>
            <w:r>
              <w:rPr>
                <w:rFonts w:hint="eastAsia" w:ascii="Times New Roman" w:hAnsi="Times New Roman" w:eastAsia="宋体" w:cs="Times New Roman"/>
                <w:bCs/>
                <w:color w:val="auto"/>
                <w:sz w:val="24"/>
                <w:highlight w:val="none"/>
                <w:lang w:eastAsia="zh-CN"/>
              </w:rPr>
              <w:t>，故定性分析。产生的废气以无组织形式排放，达到广东省地方标准《大气污染物排放限值》（DB44/27-2001）第二时段无组织排放监控浓度限值，</w:t>
            </w:r>
            <w:r>
              <w:rPr>
                <w:rFonts w:hint="eastAsia" w:ascii="Times New Roman" w:hAnsi="Times New Roman" w:eastAsia="宋体" w:cs="Times New Roman"/>
                <w:bCs/>
                <w:color w:val="auto"/>
                <w:sz w:val="24"/>
                <w:highlight w:val="none"/>
                <w:lang w:val="en-US" w:eastAsia="zh-CN"/>
              </w:rPr>
              <w:t>对周围环境影响不大。</w:t>
            </w:r>
          </w:p>
          <w:p w14:paraId="1421F12D">
            <w:pPr>
              <w:pStyle w:val="26"/>
              <w:wordWrap w:val="0"/>
              <w:topLinePunct/>
              <w:spacing w:line="360" w:lineRule="auto"/>
              <w:ind w:firstLine="482" w:firstLineChars="200"/>
              <w:rPr>
                <w:rFonts w:hint="eastAsia"/>
                <w:b/>
                <w:bCs/>
                <w:color w:val="auto"/>
                <w:sz w:val="24"/>
                <w:szCs w:val="22"/>
              </w:rPr>
            </w:pPr>
            <w:r>
              <w:rPr>
                <w:rFonts w:hint="eastAsia"/>
                <w:b/>
                <w:bCs/>
                <w:color w:val="auto"/>
                <w:sz w:val="24"/>
                <w:szCs w:val="22"/>
              </w:rPr>
              <w:t>（</w:t>
            </w:r>
            <w:r>
              <w:rPr>
                <w:rFonts w:hint="eastAsia"/>
                <w:b/>
                <w:bCs/>
                <w:color w:val="auto"/>
                <w:sz w:val="24"/>
                <w:szCs w:val="22"/>
                <w:lang w:val="en-US" w:eastAsia="zh-CN"/>
              </w:rPr>
              <w:t>4</w:t>
            </w:r>
            <w:r>
              <w:rPr>
                <w:rFonts w:hint="eastAsia"/>
                <w:b/>
                <w:bCs/>
                <w:color w:val="auto"/>
                <w:sz w:val="24"/>
                <w:szCs w:val="22"/>
              </w:rPr>
              <w:t>）</w:t>
            </w:r>
            <w:r>
              <w:rPr>
                <w:rFonts w:hint="eastAsia"/>
                <w:b/>
                <w:bCs/>
                <w:color w:val="auto"/>
                <w:sz w:val="24"/>
                <w:szCs w:val="22"/>
                <w:lang w:val="en-US" w:eastAsia="zh-CN"/>
              </w:rPr>
              <w:t>点胶、烘干</w:t>
            </w:r>
            <w:r>
              <w:rPr>
                <w:rFonts w:hint="eastAsia"/>
                <w:b/>
                <w:bCs/>
                <w:color w:val="auto"/>
                <w:sz w:val="24"/>
                <w:szCs w:val="22"/>
              </w:rPr>
              <w:t>废气</w:t>
            </w:r>
          </w:p>
          <w:p w14:paraId="0587D273">
            <w:pPr>
              <w:tabs>
                <w:tab w:val="left" w:pos="6195"/>
              </w:tabs>
              <w:snapToGrid w:val="0"/>
              <w:spacing w:line="360" w:lineRule="auto"/>
              <w:ind w:firstLine="480" w:firstLineChars="200"/>
              <w:rPr>
                <w:rFonts w:hint="eastAsia"/>
                <w:color w:val="auto"/>
                <w:sz w:val="24"/>
                <w:highlight w:val="none"/>
                <w:lang w:eastAsia="zh-CN"/>
              </w:rPr>
            </w:pPr>
            <w:r>
              <w:rPr>
                <w:rFonts w:hint="default" w:ascii="Times New Roman" w:hAnsi="Times New Roman" w:eastAsia="宋体" w:cs="Times New Roman"/>
                <w:b w:val="0"/>
                <w:bCs w:val="0"/>
                <w:color w:val="auto"/>
                <w:kern w:val="2"/>
                <w:sz w:val="24"/>
                <w:szCs w:val="22"/>
                <w:highlight w:val="none"/>
                <w:lang w:val="en-US" w:eastAsia="zh-CN" w:bidi="ar-SA"/>
              </w:rPr>
              <w:t>项目</w:t>
            </w:r>
            <w:r>
              <w:rPr>
                <w:rFonts w:hint="eastAsia" w:ascii="Times New Roman" w:hAnsi="Times New Roman" w:eastAsia="宋体" w:cs="Times New Roman"/>
                <w:b w:val="0"/>
                <w:bCs w:val="0"/>
                <w:color w:val="auto"/>
                <w:kern w:val="2"/>
                <w:sz w:val="24"/>
                <w:szCs w:val="22"/>
                <w:highlight w:val="none"/>
                <w:lang w:val="en-US" w:eastAsia="zh-CN" w:bidi="ar-SA"/>
              </w:rPr>
              <w:t>点胶、烘干工序需要使用环氧树脂AB胶，该工序产生有机废气和臭气浓度，有机废气以非甲烷总烃、TVOC表征，项目使用环氧树脂AB胶0.15t/a，挥发分为3%，非甲烷总烃、TVOC年产生量为0.0045t/a，年工作时间2400h/a。</w:t>
            </w:r>
            <w:r>
              <w:rPr>
                <w:rFonts w:hint="eastAsia"/>
                <w:color w:val="auto"/>
                <w:sz w:val="24"/>
                <w:szCs w:val="22"/>
                <w:highlight w:val="none"/>
                <w:lang w:val="en-US" w:eastAsia="zh-CN"/>
              </w:rPr>
              <w:t>废气</w:t>
            </w:r>
            <w:r>
              <w:rPr>
                <w:rFonts w:hint="eastAsia" w:ascii="Times New Roman" w:hAnsi="Times New Roman" w:eastAsia="宋体" w:cs="Times New Roman"/>
                <w:bCs/>
                <w:color w:val="auto"/>
                <w:sz w:val="24"/>
                <w:highlight w:val="none"/>
                <w:lang w:val="en-US" w:eastAsia="zh-CN"/>
              </w:rPr>
              <w:t>以无组织形式排放，</w:t>
            </w:r>
            <w:r>
              <w:rPr>
                <w:color w:val="auto"/>
                <w:sz w:val="24"/>
                <w:szCs w:val="22"/>
                <w:highlight w:val="none"/>
              </w:rPr>
              <w:t>产生速率为</w:t>
            </w:r>
            <w:r>
              <w:rPr>
                <w:rFonts w:hint="eastAsia"/>
                <w:color w:val="auto"/>
                <w:sz w:val="24"/>
                <w:szCs w:val="22"/>
                <w:highlight w:val="none"/>
                <w:lang w:val="en-US" w:eastAsia="zh-CN"/>
              </w:rPr>
              <w:t>0.0019</w:t>
            </w:r>
            <w:r>
              <w:rPr>
                <w:rFonts w:hint="eastAsia"/>
                <w:color w:val="auto"/>
                <w:sz w:val="24"/>
                <w:szCs w:val="22"/>
                <w:highlight w:val="none"/>
              </w:rPr>
              <w:t>kg</w:t>
            </w:r>
            <w:r>
              <w:rPr>
                <w:color w:val="auto"/>
                <w:sz w:val="24"/>
                <w:szCs w:val="22"/>
                <w:highlight w:val="none"/>
              </w:rPr>
              <w:t>/h</w:t>
            </w:r>
            <w:r>
              <w:rPr>
                <w:rFonts w:hint="eastAsia"/>
                <w:color w:val="auto"/>
                <w:sz w:val="24"/>
                <w:szCs w:val="22"/>
                <w:highlight w:val="none"/>
                <w:lang w:eastAsia="zh-CN"/>
              </w:rPr>
              <w:t>，</w:t>
            </w:r>
            <w:r>
              <w:rPr>
                <w:color w:val="auto"/>
                <w:sz w:val="24"/>
                <w:szCs w:val="22"/>
                <w:highlight w:val="none"/>
              </w:rPr>
              <w:t>可达到广</w:t>
            </w:r>
            <w:r>
              <w:rPr>
                <w:color w:val="000000"/>
                <w:sz w:val="24"/>
                <w:szCs w:val="22"/>
                <w:highlight w:val="none"/>
              </w:rPr>
              <w:t>东省地方标准《大气污染物排放限值》（DB44/27-2001）第二时段无组织排放监控浓度限值，对周围环境影响不大。</w:t>
            </w:r>
          </w:p>
          <w:p w14:paraId="2E74D019">
            <w:pPr>
              <w:tabs>
                <w:tab w:val="left" w:pos="6195"/>
              </w:tabs>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olor w:val="auto"/>
                <w:sz w:val="24"/>
                <w:highlight w:val="none"/>
                <w:lang w:eastAsia="zh-CN"/>
              </w:rPr>
              <w:t>综上所述</w:t>
            </w:r>
            <w:r>
              <w:rPr>
                <w:rFonts w:hint="eastAsia"/>
                <w:color w:val="auto"/>
                <w:sz w:val="24"/>
                <w:highlight w:val="none"/>
              </w:rPr>
              <w:t>，</w:t>
            </w:r>
            <w:r>
              <w:rPr>
                <w:rFonts w:hint="eastAsia"/>
                <w:color w:val="auto"/>
                <w:sz w:val="24"/>
                <w:highlight w:val="none"/>
                <w:lang w:val="en-US" w:eastAsia="zh-CN"/>
              </w:rPr>
              <w:t>非甲烷总烃、二氯甲烷、酚类、氨</w:t>
            </w:r>
            <w:r>
              <w:rPr>
                <w:color w:val="auto"/>
                <w:sz w:val="24"/>
                <w:highlight w:val="none"/>
              </w:rPr>
              <w:t>达到</w:t>
            </w:r>
            <w:r>
              <w:rPr>
                <w:rFonts w:hint="eastAsia"/>
                <w:color w:val="auto"/>
                <w:sz w:val="24"/>
                <w:highlight w:val="none"/>
              </w:rPr>
              <w:t>《合成树脂工业污染物排放标准》（GB31572-2015，含2024年修改单）表4大气污染物排放限值</w:t>
            </w:r>
            <w:r>
              <w:rPr>
                <w:rFonts w:hint="eastAsia" w:ascii="Times New Roman" w:hAnsi="Times New Roman" w:eastAsia="宋体" w:cs="Times New Roman"/>
                <w:color w:val="auto"/>
                <w:sz w:val="24"/>
                <w:highlight w:val="none"/>
                <w:lang w:val="en-US" w:eastAsia="zh-CN"/>
              </w:rPr>
              <w:t>；</w:t>
            </w:r>
            <w:r>
              <w:rPr>
                <w:color w:val="auto"/>
                <w:sz w:val="24"/>
                <w:highlight w:val="none"/>
              </w:rPr>
              <w:t>臭气浓度达到《恶臭污染物排放标准》（GB14554－93）表2恶臭污染物排放标准值</w:t>
            </w:r>
            <w:r>
              <w:rPr>
                <w:rFonts w:hint="eastAsia"/>
                <w:color w:val="auto"/>
                <w:sz w:val="24"/>
                <w:highlight w:val="none"/>
              </w:rPr>
              <w:t>，厂区内非甲烷总烃</w:t>
            </w:r>
            <w:r>
              <w:rPr>
                <w:rFonts w:hint="eastAsia"/>
                <w:color w:val="auto"/>
                <w:sz w:val="24"/>
                <w:highlight w:val="none"/>
                <w:lang w:eastAsia="zh-CN"/>
              </w:rPr>
              <w:t>、</w:t>
            </w:r>
            <w:r>
              <w:rPr>
                <w:rFonts w:hint="eastAsia"/>
                <w:color w:val="auto"/>
                <w:sz w:val="24"/>
                <w:highlight w:val="none"/>
                <w:lang w:val="en-US" w:eastAsia="zh-CN"/>
              </w:rPr>
              <w:t>颗粒物</w:t>
            </w:r>
            <w:r>
              <w:rPr>
                <w:rFonts w:hint="eastAsia"/>
                <w:color w:val="auto"/>
                <w:sz w:val="24"/>
                <w:highlight w:val="none"/>
              </w:rPr>
              <w:t>执行《合成树脂工业污染物排放标准》（GB31572-2015）表9企业边界大气污染物浓度限值和广东省地方标准《大气污染物排放限值》(DB44/27－2001)（第二时段）无组织排放监控浓度限值较严值</w:t>
            </w:r>
            <w:r>
              <w:rPr>
                <w:rFonts w:hint="eastAsia" w:ascii="Times New Roman" w:hAnsi="Times New Roman" w:eastAsia="宋体" w:cs="Times New Roman"/>
                <w:color w:val="auto"/>
                <w:sz w:val="24"/>
                <w:highlight w:val="none"/>
                <w:lang w:eastAsia="zh-CN"/>
              </w:rPr>
              <w:t>，</w:t>
            </w:r>
            <w:r>
              <w:rPr>
                <w:color w:val="auto"/>
                <w:sz w:val="24"/>
                <w:szCs w:val="22"/>
              </w:rPr>
              <w:t>臭气浓度</w:t>
            </w:r>
            <w:r>
              <w:rPr>
                <w:rFonts w:hint="eastAsia"/>
                <w:color w:val="auto"/>
                <w:sz w:val="24"/>
                <w:szCs w:val="22"/>
                <w:lang w:eastAsia="zh-CN"/>
              </w:rPr>
              <w:t>、</w:t>
            </w:r>
            <w:r>
              <w:rPr>
                <w:rFonts w:hint="eastAsia"/>
                <w:color w:val="auto"/>
                <w:sz w:val="24"/>
                <w:szCs w:val="22"/>
                <w:lang w:val="en-US" w:eastAsia="zh-CN"/>
              </w:rPr>
              <w:t>氨</w:t>
            </w:r>
            <w:r>
              <w:rPr>
                <w:color w:val="auto"/>
                <w:sz w:val="24"/>
                <w:szCs w:val="22"/>
              </w:rPr>
              <w:t>达到《恶臭污染物排放标准》（GB14554-93）表1恶臭污染物厂界标准值。</w:t>
            </w:r>
            <w:r>
              <w:rPr>
                <w:rFonts w:hint="eastAsia" w:ascii="Times New Roman" w:hAnsi="Times New Roman" w:eastAsia="宋体" w:cs="Times New Roman"/>
                <w:color w:val="auto"/>
                <w:sz w:val="24"/>
                <w:highlight w:val="none"/>
                <w:lang w:eastAsia="zh-CN"/>
              </w:rPr>
              <w:t>对周围环境影响</w:t>
            </w:r>
            <w:r>
              <w:rPr>
                <w:color w:val="auto"/>
                <w:sz w:val="24"/>
                <w:highlight w:val="none"/>
              </w:rPr>
              <w:t>不大。</w:t>
            </w:r>
          </w:p>
          <w:p w14:paraId="06235F38">
            <w:pPr>
              <w:widowControl/>
              <w:spacing w:line="360" w:lineRule="auto"/>
              <w:ind w:firstLine="482" w:firstLineChars="200"/>
              <w:jc w:val="left"/>
              <w:rPr>
                <w:b/>
                <w:bCs/>
                <w:color w:val="auto"/>
                <w:sz w:val="24"/>
                <w:szCs w:val="22"/>
                <w:highlight w:val="none"/>
              </w:rPr>
            </w:pPr>
            <w:r>
              <w:rPr>
                <w:b/>
                <w:bCs/>
                <w:color w:val="auto"/>
                <w:sz w:val="24"/>
                <w:szCs w:val="22"/>
                <w:highlight w:val="none"/>
              </w:rPr>
              <w:t>本项目全厂废气排放见下表：</w:t>
            </w:r>
          </w:p>
          <w:p w14:paraId="6693E870">
            <w:pPr>
              <w:pStyle w:val="95"/>
              <w:spacing w:before="120"/>
              <w:ind w:left="0"/>
              <w:rPr>
                <w:b/>
                <w:bCs/>
                <w:color w:val="auto"/>
                <w:szCs w:val="21"/>
                <w:highlight w:val="none"/>
              </w:rPr>
            </w:pPr>
            <w:r>
              <w:rPr>
                <w:b/>
                <w:bCs/>
                <w:color w:val="auto"/>
                <w:szCs w:val="21"/>
                <w:highlight w:val="none"/>
              </w:rPr>
              <w:t>大气污染物有组织排放核算表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73"/>
              <w:gridCol w:w="1240"/>
              <w:gridCol w:w="1418"/>
              <w:gridCol w:w="1814"/>
              <w:gridCol w:w="1977"/>
              <w:gridCol w:w="1820"/>
            </w:tblGrid>
            <w:tr w14:paraId="5BF00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blHeader/>
              </w:trPr>
              <w:tc>
                <w:tcPr>
                  <w:tcW w:w="324" w:type="pct"/>
                  <w:tcBorders>
                    <w:top w:val="single" w:color="auto" w:sz="4" w:space="0"/>
                    <w:left w:val="single" w:color="auto" w:sz="4" w:space="0"/>
                    <w:bottom w:val="single" w:color="auto" w:sz="4" w:space="0"/>
                    <w:right w:val="single" w:color="auto" w:sz="4" w:space="0"/>
                  </w:tcBorders>
                  <w:shd w:val="clear" w:color="auto" w:fill="auto"/>
                  <w:vAlign w:val="center"/>
                </w:tcPr>
                <w:p w14:paraId="2013FD35">
                  <w:pPr>
                    <w:widowControl/>
                    <w:adjustRightInd w:val="0"/>
                    <w:snapToGrid w:val="0"/>
                    <w:jc w:val="center"/>
                    <w:rPr>
                      <w:b/>
                      <w:color w:val="auto"/>
                      <w:szCs w:val="21"/>
                      <w:highlight w:val="none"/>
                      <w:lang w:val="zh-CN"/>
                    </w:rPr>
                  </w:pPr>
                  <w:r>
                    <w:rPr>
                      <w:b/>
                      <w:color w:val="auto"/>
                      <w:szCs w:val="21"/>
                      <w:highlight w:val="none"/>
                      <w:lang w:val="zh-CN" w:bidi="en-AU"/>
                    </w:rPr>
                    <w:t>序号</w:t>
                  </w:r>
                </w:p>
              </w:tc>
              <w:tc>
                <w:tcPr>
                  <w:tcW w:w="701" w:type="pct"/>
                  <w:tcBorders>
                    <w:top w:val="single" w:color="auto" w:sz="4" w:space="0"/>
                    <w:left w:val="single" w:color="auto" w:sz="4" w:space="0"/>
                    <w:bottom w:val="single" w:color="auto" w:sz="4" w:space="0"/>
                    <w:right w:val="single" w:color="auto" w:sz="4" w:space="0"/>
                  </w:tcBorders>
                  <w:shd w:val="clear" w:color="auto" w:fill="auto"/>
                  <w:vAlign w:val="center"/>
                </w:tcPr>
                <w:p w14:paraId="6C694E37">
                  <w:pPr>
                    <w:widowControl/>
                    <w:adjustRightInd w:val="0"/>
                    <w:snapToGrid w:val="0"/>
                    <w:jc w:val="center"/>
                    <w:rPr>
                      <w:b/>
                      <w:color w:val="auto"/>
                      <w:szCs w:val="21"/>
                      <w:highlight w:val="none"/>
                      <w:lang w:val="zh-CN"/>
                    </w:rPr>
                  </w:pPr>
                  <w:r>
                    <w:rPr>
                      <w:b/>
                      <w:color w:val="auto"/>
                      <w:szCs w:val="21"/>
                      <w:highlight w:val="none"/>
                      <w:lang w:val="zh-CN" w:bidi="en-AU"/>
                    </w:rPr>
                    <w:t>排放口编号</w:t>
                  </w:r>
                </w:p>
              </w:tc>
              <w:tc>
                <w:tcPr>
                  <w:tcW w:w="802" w:type="pct"/>
                  <w:tcBorders>
                    <w:top w:val="single" w:color="auto" w:sz="4" w:space="0"/>
                    <w:left w:val="single" w:color="auto" w:sz="4" w:space="0"/>
                    <w:bottom w:val="single" w:color="auto" w:sz="4" w:space="0"/>
                    <w:right w:val="single" w:color="auto" w:sz="4" w:space="0"/>
                  </w:tcBorders>
                  <w:shd w:val="clear" w:color="auto" w:fill="auto"/>
                  <w:vAlign w:val="center"/>
                </w:tcPr>
                <w:p w14:paraId="7FC30B79">
                  <w:pPr>
                    <w:widowControl/>
                    <w:adjustRightInd w:val="0"/>
                    <w:snapToGrid w:val="0"/>
                    <w:jc w:val="center"/>
                    <w:rPr>
                      <w:b/>
                      <w:color w:val="auto"/>
                      <w:szCs w:val="21"/>
                      <w:highlight w:val="none"/>
                      <w:lang w:val="zh-CN"/>
                    </w:rPr>
                  </w:pPr>
                  <w:r>
                    <w:rPr>
                      <w:b/>
                      <w:color w:val="auto"/>
                      <w:szCs w:val="21"/>
                      <w:highlight w:val="none"/>
                      <w:lang w:val="zh-CN" w:bidi="en-AU"/>
                    </w:rPr>
                    <w:t>污染物</w:t>
                  </w:r>
                </w:p>
              </w:tc>
              <w:tc>
                <w:tcPr>
                  <w:tcW w:w="1026" w:type="pct"/>
                  <w:tcBorders>
                    <w:top w:val="single" w:color="auto" w:sz="4" w:space="0"/>
                    <w:left w:val="single" w:color="auto" w:sz="4" w:space="0"/>
                    <w:bottom w:val="single" w:color="auto" w:sz="4" w:space="0"/>
                    <w:right w:val="single" w:color="auto" w:sz="4" w:space="0"/>
                  </w:tcBorders>
                  <w:shd w:val="clear" w:color="auto" w:fill="auto"/>
                  <w:vAlign w:val="center"/>
                </w:tcPr>
                <w:p w14:paraId="75E582D6">
                  <w:pPr>
                    <w:widowControl/>
                    <w:adjustRightInd w:val="0"/>
                    <w:snapToGrid w:val="0"/>
                    <w:jc w:val="center"/>
                    <w:rPr>
                      <w:b/>
                      <w:color w:val="auto"/>
                      <w:szCs w:val="21"/>
                      <w:highlight w:val="none"/>
                      <w:lang w:val="zh-CN"/>
                    </w:rPr>
                  </w:pPr>
                  <w:r>
                    <w:rPr>
                      <w:b/>
                      <w:color w:val="auto"/>
                      <w:szCs w:val="21"/>
                      <w:highlight w:val="none"/>
                      <w:lang w:val="zh-CN" w:bidi="en-AU"/>
                    </w:rPr>
                    <w:t>核算排放浓度（</w:t>
                  </w:r>
                  <w:r>
                    <w:rPr>
                      <w:b/>
                      <w:color w:val="auto"/>
                      <w:szCs w:val="21"/>
                      <w:highlight w:val="none"/>
                      <w:lang w:bidi="en-AU"/>
                    </w:rPr>
                    <w:t>m</w:t>
                  </w:r>
                  <w:r>
                    <w:rPr>
                      <w:b/>
                      <w:color w:val="auto"/>
                      <w:szCs w:val="21"/>
                      <w:highlight w:val="none"/>
                      <w:lang w:val="zh-CN" w:bidi="en-AU"/>
                    </w:rPr>
                    <w:t>g/m</w:t>
                  </w:r>
                  <w:r>
                    <w:rPr>
                      <w:b/>
                      <w:color w:val="auto"/>
                      <w:szCs w:val="21"/>
                      <w:highlight w:val="none"/>
                      <w:vertAlign w:val="superscript"/>
                      <w:lang w:val="zh-CN" w:bidi="en-AU"/>
                    </w:rPr>
                    <w:t>3</w:t>
                  </w:r>
                  <w:r>
                    <w:rPr>
                      <w:b/>
                      <w:color w:val="auto"/>
                      <w:szCs w:val="21"/>
                      <w:highlight w:val="none"/>
                      <w:lang w:val="zh-CN" w:bidi="en-AU"/>
                    </w:rPr>
                    <w:t>）</w:t>
                  </w:r>
                </w:p>
              </w:tc>
              <w:tc>
                <w:tcPr>
                  <w:tcW w:w="1116" w:type="pct"/>
                  <w:tcBorders>
                    <w:top w:val="single" w:color="auto" w:sz="4" w:space="0"/>
                    <w:left w:val="single" w:color="auto" w:sz="4" w:space="0"/>
                    <w:bottom w:val="single" w:color="auto" w:sz="4" w:space="0"/>
                    <w:right w:val="single" w:color="auto" w:sz="4" w:space="0"/>
                  </w:tcBorders>
                  <w:shd w:val="clear" w:color="auto" w:fill="auto"/>
                  <w:vAlign w:val="center"/>
                </w:tcPr>
                <w:p w14:paraId="3D20C944">
                  <w:pPr>
                    <w:widowControl/>
                    <w:adjustRightInd w:val="0"/>
                    <w:snapToGrid w:val="0"/>
                    <w:jc w:val="center"/>
                    <w:rPr>
                      <w:b/>
                      <w:color w:val="auto"/>
                      <w:szCs w:val="21"/>
                      <w:highlight w:val="none"/>
                      <w:lang w:val="zh-CN"/>
                    </w:rPr>
                  </w:pPr>
                  <w:r>
                    <w:rPr>
                      <w:b/>
                      <w:color w:val="auto"/>
                      <w:szCs w:val="21"/>
                      <w:highlight w:val="none"/>
                      <w:lang w:val="zh-CN" w:bidi="en-AU"/>
                    </w:rPr>
                    <w:t>核算排放速率（kg/h）</w:t>
                  </w:r>
                </w:p>
              </w:tc>
              <w:tc>
                <w:tcPr>
                  <w:tcW w:w="1028" w:type="pct"/>
                  <w:tcBorders>
                    <w:top w:val="single" w:color="auto" w:sz="4" w:space="0"/>
                    <w:left w:val="single" w:color="auto" w:sz="4" w:space="0"/>
                    <w:bottom w:val="single" w:color="auto" w:sz="4" w:space="0"/>
                    <w:right w:val="single" w:color="auto" w:sz="4" w:space="0"/>
                  </w:tcBorders>
                  <w:shd w:val="clear" w:color="auto" w:fill="auto"/>
                  <w:vAlign w:val="center"/>
                </w:tcPr>
                <w:p w14:paraId="1C89185E">
                  <w:pPr>
                    <w:widowControl/>
                    <w:adjustRightInd w:val="0"/>
                    <w:snapToGrid w:val="0"/>
                    <w:jc w:val="center"/>
                    <w:rPr>
                      <w:b/>
                      <w:color w:val="auto"/>
                      <w:szCs w:val="21"/>
                      <w:highlight w:val="none"/>
                      <w:lang w:val="zh-CN"/>
                    </w:rPr>
                  </w:pPr>
                  <w:r>
                    <w:rPr>
                      <w:b/>
                      <w:color w:val="auto"/>
                      <w:szCs w:val="21"/>
                      <w:highlight w:val="none"/>
                      <w:lang w:val="zh-CN" w:bidi="en-AU"/>
                    </w:rPr>
                    <w:t>核算年排放量（t/a）</w:t>
                  </w:r>
                </w:p>
              </w:tc>
            </w:tr>
            <w:tr w14:paraId="0EDC0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top w:val="single" w:color="auto" w:sz="4" w:space="0"/>
                    <w:left w:val="single" w:color="auto" w:sz="4" w:space="0"/>
                    <w:bottom w:val="single" w:color="auto" w:sz="4" w:space="0"/>
                    <w:right w:val="single" w:color="auto" w:sz="4" w:space="0"/>
                  </w:tcBorders>
                  <w:shd w:val="clear" w:color="auto" w:fill="auto"/>
                  <w:vAlign w:val="center"/>
                </w:tcPr>
                <w:p w14:paraId="78F8681F">
                  <w:pPr>
                    <w:widowControl/>
                    <w:adjustRightInd w:val="0"/>
                    <w:snapToGrid w:val="0"/>
                    <w:jc w:val="center"/>
                    <w:rPr>
                      <w:color w:val="auto"/>
                      <w:szCs w:val="21"/>
                      <w:highlight w:val="none"/>
                      <w:lang w:val="zh-CN"/>
                    </w:rPr>
                  </w:pPr>
                  <w:r>
                    <w:rPr>
                      <w:color w:val="auto"/>
                      <w:szCs w:val="21"/>
                      <w:highlight w:val="none"/>
                      <w:lang w:val="zh-CN" w:bidi="en-AU"/>
                    </w:rPr>
                    <w:t>主要排放口</w:t>
                  </w:r>
                </w:p>
              </w:tc>
            </w:tr>
            <w:tr w14:paraId="576C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tcBorders>
                    <w:top w:val="single" w:color="auto" w:sz="4" w:space="0"/>
                    <w:left w:val="single" w:color="auto" w:sz="4" w:space="0"/>
                    <w:bottom w:val="single" w:color="auto" w:sz="4" w:space="0"/>
                    <w:right w:val="single" w:color="auto" w:sz="4" w:space="0"/>
                  </w:tcBorders>
                  <w:shd w:val="clear" w:color="auto" w:fill="auto"/>
                  <w:vAlign w:val="center"/>
                </w:tcPr>
                <w:p w14:paraId="623305AA">
                  <w:pPr>
                    <w:adjustRightInd w:val="0"/>
                    <w:snapToGrid w:val="0"/>
                    <w:jc w:val="center"/>
                    <w:rPr>
                      <w:color w:val="auto"/>
                      <w:szCs w:val="21"/>
                      <w:highlight w:val="none"/>
                    </w:rPr>
                  </w:pPr>
                  <w:r>
                    <w:rPr>
                      <w:color w:val="auto"/>
                      <w:szCs w:val="21"/>
                      <w:highlight w:val="none"/>
                    </w:rPr>
                    <w:t>/</w:t>
                  </w:r>
                </w:p>
              </w:tc>
              <w:tc>
                <w:tcPr>
                  <w:tcW w:w="701" w:type="pct"/>
                  <w:tcBorders>
                    <w:top w:val="single" w:color="auto" w:sz="4" w:space="0"/>
                    <w:left w:val="single" w:color="auto" w:sz="4" w:space="0"/>
                    <w:bottom w:val="single" w:color="auto" w:sz="4" w:space="0"/>
                    <w:right w:val="single" w:color="auto" w:sz="4" w:space="0"/>
                  </w:tcBorders>
                  <w:shd w:val="clear" w:color="auto" w:fill="auto"/>
                  <w:vAlign w:val="center"/>
                </w:tcPr>
                <w:p w14:paraId="2CE1AD35">
                  <w:pPr>
                    <w:snapToGrid w:val="0"/>
                    <w:jc w:val="center"/>
                    <w:rPr>
                      <w:color w:val="auto"/>
                      <w:kern w:val="0"/>
                      <w:szCs w:val="21"/>
                      <w:highlight w:val="none"/>
                    </w:rPr>
                  </w:pPr>
                  <w:r>
                    <w:rPr>
                      <w:color w:val="auto"/>
                      <w:szCs w:val="21"/>
                      <w:highlight w:val="none"/>
                    </w:rPr>
                    <w:t>/</w:t>
                  </w:r>
                </w:p>
              </w:tc>
              <w:tc>
                <w:tcPr>
                  <w:tcW w:w="802" w:type="pct"/>
                  <w:tcBorders>
                    <w:top w:val="single" w:color="auto" w:sz="4" w:space="0"/>
                    <w:left w:val="single" w:color="auto" w:sz="4" w:space="0"/>
                    <w:bottom w:val="single" w:color="auto" w:sz="4" w:space="0"/>
                    <w:right w:val="single" w:color="auto" w:sz="4" w:space="0"/>
                  </w:tcBorders>
                  <w:shd w:val="clear" w:color="auto" w:fill="auto"/>
                  <w:vAlign w:val="center"/>
                </w:tcPr>
                <w:p w14:paraId="59F29701">
                  <w:pPr>
                    <w:widowControl/>
                    <w:jc w:val="center"/>
                    <w:rPr>
                      <w:color w:val="auto"/>
                      <w:kern w:val="0"/>
                      <w:szCs w:val="21"/>
                      <w:highlight w:val="none"/>
                    </w:rPr>
                  </w:pPr>
                  <w:r>
                    <w:rPr>
                      <w:color w:val="auto"/>
                      <w:szCs w:val="21"/>
                      <w:highlight w:val="none"/>
                    </w:rPr>
                    <w:t>/</w:t>
                  </w:r>
                </w:p>
              </w:tc>
              <w:tc>
                <w:tcPr>
                  <w:tcW w:w="1026" w:type="pct"/>
                  <w:tcBorders>
                    <w:top w:val="single" w:color="auto" w:sz="4" w:space="0"/>
                    <w:left w:val="single" w:color="auto" w:sz="4" w:space="0"/>
                    <w:bottom w:val="single" w:color="auto" w:sz="4" w:space="0"/>
                    <w:right w:val="single" w:color="auto" w:sz="4" w:space="0"/>
                  </w:tcBorders>
                  <w:shd w:val="clear" w:color="auto" w:fill="auto"/>
                  <w:vAlign w:val="center"/>
                </w:tcPr>
                <w:p w14:paraId="0AD48CF0">
                  <w:pPr>
                    <w:widowControl/>
                    <w:adjustRightInd w:val="0"/>
                    <w:snapToGrid w:val="0"/>
                    <w:jc w:val="center"/>
                    <w:rPr>
                      <w:color w:val="auto"/>
                      <w:szCs w:val="21"/>
                      <w:highlight w:val="none"/>
                      <w:lang w:val="zh-CN"/>
                    </w:rPr>
                  </w:pPr>
                  <w:r>
                    <w:rPr>
                      <w:color w:val="auto"/>
                      <w:szCs w:val="21"/>
                      <w:highlight w:val="none"/>
                    </w:rPr>
                    <w:t>/</w:t>
                  </w:r>
                </w:p>
              </w:tc>
              <w:tc>
                <w:tcPr>
                  <w:tcW w:w="1116" w:type="pct"/>
                  <w:tcBorders>
                    <w:top w:val="single" w:color="auto" w:sz="4" w:space="0"/>
                    <w:left w:val="single" w:color="auto" w:sz="4" w:space="0"/>
                    <w:bottom w:val="single" w:color="auto" w:sz="4" w:space="0"/>
                    <w:right w:val="single" w:color="auto" w:sz="4" w:space="0"/>
                  </w:tcBorders>
                  <w:shd w:val="clear" w:color="auto" w:fill="auto"/>
                  <w:vAlign w:val="center"/>
                </w:tcPr>
                <w:p w14:paraId="4BE6E9C2">
                  <w:pPr>
                    <w:jc w:val="center"/>
                    <w:rPr>
                      <w:color w:val="auto"/>
                      <w:szCs w:val="21"/>
                      <w:highlight w:val="none"/>
                    </w:rPr>
                  </w:pPr>
                  <w:r>
                    <w:rPr>
                      <w:color w:val="auto"/>
                      <w:szCs w:val="21"/>
                      <w:highlight w:val="none"/>
                    </w:rPr>
                    <w:t>/</w:t>
                  </w:r>
                </w:p>
              </w:tc>
              <w:tc>
                <w:tcPr>
                  <w:tcW w:w="1028" w:type="pct"/>
                  <w:tcBorders>
                    <w:top w:val="single" w:color="auto" w:sz="4" w:space="0"/>
                    <w:left w:val="single" w:color="auto" w:sz="4" w:space="0"/>
                    <w:bottom w:val="single" w:color="auto" w:sz="4" w:space="0"/>
                    <w:right w:val="single" w:color="auto" w:sz="4" w:space="0"/>
                  </w:tcBorders>
                  <w:shd w:val="clear" w:color="auto" w:fill="auto"/>
                  <w:vAlign w:val="center"/>
                </w:tcPr>
                <w:p w14:paraId="7B71463B">
                  <w:pPr>
                    <w:jc w:val="center"/>
                    <w:rPr>
                      <w:color w:val="auto"/>
                      <w:szCs w:val="21"/>
                      <w:highlight w:val="none"/>
                    </w:rPr>
                  </w:pPr>
                  <w:r>
                    <w:rPr>
                      <w:color w:val="auto"/>
                      <w:szCs w:val="21"/>
                      <w:highlight w:val="none"/>
                    </w:rPr>
                    <w:t>/</w:t>
                  </w:r>
                </w:p>
              </w:tc>
            </w:tr>
            <w:tr w14:paraId="36C51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5"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0C964AEF">
                  <w:pPr>
                    <w:snapToGrid w:val="0"/>
                    <w:jc w:val="center"/>
                    <w:rPr>
                      <w:color w:val="auto"/>
                      <w:kern w:val="0"/>
                      <w:szCs w:val="21"/>
                      <w:highlight w:val="none"/>
                    </w:rPr>
                  </w:pPr>
                  <w:r>
                    <w:rPr>
                      <w:color w:val="auto"/>
                      <w:szCs w:val="21"/>
                      <w:highlight w:val="none"/>
                      <w:lang w:val="zh-CN" w:bidi="en-AU"/>
                    </w:rPr>
                    <w:t>主要排放口合计</w:t>
                  </w:r>
                </w:p>
              </w:tc>
              <w:tc>
                <w:tcPr>
                  <w:tcW w:w="2946"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616EE8F3">
                  <w:pPr>
                    <w:widowControl/>
                    <w:jc w:val="center"/>
                    <w:rPr>
                      <w:color w:val="auto"/>
                      <w:kern w:val="0"/>
                      <w:szCs w:val="21"/>
                      <w:highlight w:val="none"/>
                    </w:rPr>
                  </w:pPr>
                  <w:r>
                    <w:rPr>
                      <w:color w:val="auto"/>
                      <w:kern w:val="0"/>
                      <w:szCs w:val="21"/>
                      <w:highlight w:val="none"/>
                    </w:rPr>
                    <w:t>/</w:t>
                  </w:r>
                </w:p>
              </w:tc>
              <w:tc>
                <w:tcPr>
                  <w:tcW w:w="1028" w:type="pct"/>
                  <w:tcBorders>
                    <w:top w:val="single" w:color="auto" w:sz="4" w:space="0"/>
                    <w:left w:val="single" w:color="auto" w:sz="4" w:space="0"/>
                    <w:bottom w:val="single" w:color="auto" w:sz="4" w:space="0"/>
                    <w:right w:val="single" w:color="auto" w:sz="4" w:space="0"/>
                  </w:tcBorders>
                  <w:shd w:val="clear" w:color="auto" w:fill="auto"/>
                  <w:vAlign w:val="center"/>
                </w:tcPr>
                <w:p w14:paraId="013DD4BB">
                  <w:pPr>
                    <w:jc w:val="center"/>
                    <w:rPr>
                      <w:color w:val="auto"/>
                      <w:szCs w:val="21"/>
                      <w:highlight w:val="none"/>
                    </w:rPr>
                  </w:pPr>
                  <w:r>
                    <w:rPr>
                      <w:color w:val="auto"/>
                      <w:szCs w:val="21"/>
                      <w:highlight w:val="none"/>
                    </w:rPr>
                    <w:t>/</w:t>
                  </w:r>
                </w:p>
              </w:tc>
            </w:tr>
            <w:tr w14:paraId="4CE3A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000" w:type="pct"/>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45A5E0">
                  <w:pPr>
                    <w:widowControl/>
                    <w:adjustRightInd w:val="0"/>
                    <w:snapToGrid w:val="0"/>
                    <w:jc w:val="center"/>
                    <w:rPr>
                      <w:color w:val="auto"/>
                      <w:szCs w:val="21"/>
                      <w:highlight w:val="none"/>
                      <w:lang w:val="zh-CN"/>
                    </w:rPr>
                  </w:pPr>
                  <w:r>
                    <w:rPr>
                      <w:color w:val="auto"/>
                      <w:szCs w:val="21"/>
                      <w:highlight w:val="none"/>
                      <w:lang w:val="zh-CN" w:bidi="en-AU"/>
                    </w:rPr>
                    <w:t>一般排放口</w:t>
                  </w:r>
                </w:p>
              </w:tc>
            </w:tr>
            <w:tr w14:paraId="72EC4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4" w:type="pct"/>
                  <w:tcBorders>
                    <w:top w:val="single" w:color="auto" w:sz="4" w:space="0"/>
                    <w:left w:val="single" w:color="auto" w:sz="4" w:space="0"/>
                    <w:right w:val="single" w:color="auto" w:sz="4" w:space="0"/>
                  </w:tcBorders>
                  <w:shd w:val="clear" w:color="auto" w:fill="auto"/>
                  <w:vAlign w:val="center"/>
                </w:tcPr>
                <w:p w14:paraId="0D99C1F1">
                  <w:pPr>
                    <w:autoSpaceDE w:val="0"/>
                    <w:autoSpaceDN w:val="0"/>
                    <w:adjustRightInd w:val="0"/>
                    <w:jc w:val="center"/>
                    <w:rPr>
                      <w:color w:val="auto"/>
                      <w:kern w:val="0"/>
                      <w:szCs w:val="21"/>
                      <w:highlight w:val="none"/>
                      <w:lang w:val="zh-CN" w:bidi="en-AU"/>
                    </w:rPr>
                  </w:pPr>
                  <w:r>
                    <w:rPr>
                      <w:color w:val="auto"/>
                      <w:kern w:val="0"/>
                      <w:szCs w:val="21"/>
                      <w:highlight w:val="none"/>
                      <w:lang w:bidi="en-AU"/>
                    </w:rPr>
                    <w:t>1</w:t>
                  </w:r>
                </w:p>
              </w:tc>
              <w:tc>
                <w:tcPr>
                  <w:tcW w:w="701" w:type="pct"/>
                  <w:tcBorders>
                    <w:top w:val="single" w:color="auto" w:sz="4" w:space="0"/>
                    <w:left w:val="single" w:color="auto" w:sz="4" w:space="0"/>
                    <w:right w:val="single" w:color="auto" w:sz="4" w:space="0"/>
                  </w:tcBorders>
                  <w:shd w:val="clear" w:color="auto" w:fill="auto"/>
                  <w:vAlign w:val="center"/>
                </w:tcPr>
                <w:p w14:paraId="2BA7A920">
                  <w:pPr>
                    <w:autoSpaceDE w:val="0"/>
                    <w:autoSpaceDN w:val="0"/>
                    <w:adjustRightInd w:val="0"/>
                    <w:jc w:val="center"/>
                    <w:rPr>
                      <w:color w:val="auto"/>
                      <w:kern w:val="0"/>
                      <w:szCs w:val="21"/>
                      <w:highlight w:val="none"/>
                      <w:lang w:bidi="en-AU"/>
                    </w:rPr>
                  </w:pPr>
                  <w:r>
                    <w:rPr>
                      <w:color w:val="auto"/>
                      <w:kern w:val="0"/>
                      <w:szCs w:val="21"/>
                      <w:highlight w:val="none"/>
                      <w:lang w:bidi="en-AU"/>
                    </w:rPr>
                    <w:t>G1</w:t>
                  </w:r>
                </w:p>
              </w:tc>
              <w:tc>
                <w:tcPr>
                  <w:tcW w:w="802" w:type="pct"/>
                  <w:tcBorders>
                    <w:top w:val="single" w:color="auto" w:sz="4" w:space="0"/>
                    <w:left w:val="single" w:color="auto" w:sz="4" w:space="0"/>
                    <w:right w:val="single" w:color="auto" w:sz="4" w:space="0"/>
                  </w:tcBorders>
                  <w:shd w:val="clear" w:color="auto" w:fill="auto"/>
                  <w:vAlign w:val="center"/>
                </w:tcPr>
                <w:p w14:paraId="764D66D1">
                  <w:pPr>
                    <w:autoSpaceDE w:val="0"/>
                    <w:autoSpaceDN w:val="0"/>
                    <w:adjustRightInd w:val="0"/>
                    <w:jc w:val="center"/>
                    <w:rPr>
                      <w:color w:val="auto"/>
                      <w:kern w:val="0"/>
                      <w:szCs w:val="21"/>
                      <w:highlight w:val="none"/>
                      <w:lang w:bidi="en-AU"/>
                    </w:rPr>
                  </w:pPr>
                  <w:r>
                    <w:rPr>
                      <w:rFonts w:hint="eastAsia"/>
                      <w:color w:val="auto"/>
                      <w:kern w:val="0"/>
                      <w:szCs w:val="21"/>
                      <w:highlight w:val="none"/>
                      <w:lang w:bidi="en-AU"/>
                    </w:rPr>
                    <w:t>非甲烷总烃、总VOCs</w:t>
                  </w:r>
                </w:p>
              </w:tc>
              <w:tc>
                <w:tcPr>
                  <w:tcW w:w="1026" w:type="pct"/>
                  <w:tcBorders>
                    <w:top w:val="single" w:color="auto" w:sz="4" w:space="0"/>
                    <w:left w:val="single" w:color="auto" w:sz="4" w:space="0"/>
                    <w:right w:val="single" w:color="auto" w:sz="4" w:space="0"/>
                  </w:tcBorders>
                  <w:shd w:val="clear" w:color="auto" w:fill="auto"/>
                  <w:vAlign w:val="center"/>
                </w:tcPr>
                <w:p w14:paraId="32FD33A5">
                  <w:pPr>
                    <w:autoSpaceDE w:val="0"/>
                    <w:autoSpaceDN w:val="0"/>
                    <w:adjustRightInd w:val="0"/>
                    <w:jc w:val="center"/>
                    <w:rPr>
                      <w:rFonts w:hint="default" w:eastAsia="宋体"/>
                      <w:color w:val="auto"/>
                      <w:kern w:val="0"/>
                      <w:szCs w:val="21"/>
                      <w:highlight w:val="none"/>
                      <w:lang w:val="en-US" w:eastAsia="zh-CN" w:bidi="en-AU"/>
                    </w:rPr>
                  </w:pPr>
                  <w:r>
                    <w:rPr>
                      <w:rFonts w:hint="eastAsia"/>
                      <w:color w:val="auto"/>
                      <w:kern w:val="0"/>
                      <w:szCs w:val="21"/>
                      <w:highlight w:val="none"/>
                      <w:lang w:val="en-US" w:eastAsia="zh-CN" w:bidi="en-AU"/>
                    </w:rPr>
                    <w:t>0.3750</w:t>
                  </w:r>
                </w:p>
              </w:tc>
              <w:tc>
                <w:tcPr>
                  <w:tcW w:w="1116" w:type="pct"/>
                  <w:tcBorders>
                    <w:top w:val="single" w:color="auto" w:sz="4" w:space="0"/>
                    <w:left w:val="single" w:color="auto" w:sz="4" w:space="0"/>
                    <w:right w:val="single" w:color="auto" w:sz="4" w:space="0"/>
                  </w:tcBorders>
                  <w:shd w:val="clear" w:color="auto" w:fill="auto"/>
                  <w:vAlign w:val="center"/>
                </w:tcPr>
                <w:p w14:paraId="18B4C27D">
                  <w:pPr>
                    <w:autoSpaceDE w:val="0"/>
                    <w:autoSpaceDN w:val="0"/>
                    <w:adjustRightInd w:val="0"/>
                    <w:jc w:val="center"/>
                    <w:rPr>
                      <w:rFonts w:hint="default" w:eastAsia="宋体"/>
                      <w:color w:val="auto"/>
                      <w:kern w:val="0"/>
                      <w:szCs w:val="21"/>
                      <w:highlight w:val="none"/>
                      <w:lang w:val="en-US" w:eastAsia="zh-CN" w:bidi="en-AU"/>
                    </w:rPr>
                  </w:pPr>
                  <w:r>
                    <w:rPr>
                      <w:rFonts w:hint="eastAsia" w:eastAsia="等线"/>
                      <w:color w:val="auto"/>
                      <w:kern w:val="0"/>
                      <w:szCs w:val="21"/>
                      <w:highlight w:val="none"/>
                      <w:lang w:val="en-US" w:eastAsia="zh-CN" w:bidi="en-AU"/>
                    </w:rPr>
                    <w:t>0.0030</w:t>
                  </w:r>
                </w:p>
              </w:tc>
              <w:tc>
                <w:tcPr>
                  <w:tcW w:w="1028" w:type="pct"/>
                  <w:tcBorders>
                    <w:top w:val="single" w:color="auto" w:sz="4" w:space="0"/>
                    <w:left w:val="single" w:color="auto" w:sz="4" w:space="0"/>
                    <w:bottom w:val="single" w:color="auto" w:sz="4" w:space="0"/>
                    <w:right w:val="single" w:color="auto" w:sz="4" w:space="0"/>
                  </w:tcBorders>
                  <w:shd w:val="clear" w:color="auto" w:fill="auto"/>
                  <w:vAlign w:val="center"/>
                </w:tcPr>
                <w:p w14:paraId="7A91C7A4">
                  <w:pPr>
                    <w:autoSpaceDE w:val="0"/>
                    <w:autoSpaceDN w:val="0"/>
                    <w:adjustRightInd w:val="0"/>
                    <w:jc w:val="center"/>
                    <w:rPr>
                      <w:rFonts w:hint="default" w:eastAsia="宋体"/>
                      <w:color w:val="auto"/>
                      <w:kern w:val="0"/>
                      <w:szCs w:val="21"/>
                      <w:highlight w:val="none"/>
                      <w:lang w:val="en-US" w:eastAsia="zh-CN" w:bidi="en-AU"/>
                    </w:rPr>
                  </w:pPr>
                  <w:r>
                    <w:rPr>
                      <w:rFonts w:hint="eastAsia" w:eastAsia="等线"/>
                      <w:color w:val="auto"/>
                      <w:kern w:val="0"/>
                      <w:szCs w:val="21"/>
                      <w:highlight w:val="none"/>
                      <w:lang w:val="en-US" w:eastAsia="zh-CN" w:bidi="en-AU"/>
                    </w:rPr>
                    <w:t>0.0072</w:t>
                  </w:r>
                </w:p>
              </w:tc>
            </w:tr>
            <w:tr w14:paraId="13315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5" w:type="pct"/>
                  <w:gridSpan w:val="2"/>
                  <w:tcBorders>
                    <w:left w:val="single" w:color="auto" w:sz="4" w:space="0"/>
                    <w:right w:val="single" w:color="auto" w:sz="4" w:space="0"/>
                  </w:tcBorders>
                  <w:shd w:val="clear" w:color="auto" w:fill="auto"/>
                  <w:vAlign w:val="center"/>
                </w:tcPr>
                <w:p w14:paraId="0ED6FAB5">
                  <w:pPr>
                    <w:autoSpaceDE w:val="0"/>
                    <w:autoSpaceDN w:val="0"/>
                    <w:adjustRightInd w:val="0"/>
                    <w:jc w:val="center"/>
                    <w:rPr>
                      <w:color w:val="auto"/>
                      <w:kern w:val="0"/>
                      <w:szCs w:val="21"/>
                      <w:highlight w:val="none"/>
                      <w:lang w:bidi="en-AU"/>
                    </w:rPr>
                  </w:pPr>
                  <w:r>
                    <w:rPr>
                      <w:color w:val="auto"/>
                      <w:kern w:val="0"/>
                      <w:szCs w:val="21"/>
                      <w:highlight w:val="none"/>
                      <w:lang w:val="zh-CN" w:bidi="en-AU"/>
                    </w:rPr>
                    <w:t>一般排放口合计</w:t>
                  </w:r>
                </w:p>
              </w:tc>
              <w:tc>
                <w:tcPr>
                  <w:tcW w:w="2946" w:type="pct"/>
                  <w:gridSpan w:val="3"/>
                  <w:tcBorders>
                    <w:top w:val="single" w:color="auto" w:sz="4" w:space="0"/>
                    <w:left w:val="single" w:color="auto" w:sz="4" w:space="0"/>
                    <w:right w:val="single" w:color="auto" w:sz="4" w:space="0"/>
                  </w:tcBorders>
                  <w:shd w:val="clear" w:color="auto" w:fill="auto"/>
                  <w:vAlign w:val="center"/>
                </w:tcPr>
                <w:p w14:paraId="45229B41">
                  <w:pPr>
                    <w:autoSpaceDE w:val="0"/>
                    <w:autoSpaceDN w:val="0"/>
                    <w:adjustRightInd w:val="0"/>
                    <w:jc w:val="center"/>
                    <w:rPr>
                      <w:color w:val="auto"/>
                      <w:kern w:val="0"/>
                      <w:szCs w:val="21"/>
                      <w:highlight w:val="none"/>
                      <w:lang w:bidi="en-AU"/>
                    </w:rPr>
                  </w:pPr>
                  <w:r>
                    <w:rPr>
                      <w:color w:val="auto"/>
                      <w:kern w:val="0"/>
                      <w:szCs w:val="21"/>
                      <w:highlight w:val="none"/>
                      <w:lang w:bidi="en-AU"/>
                    </w:rPr>
                    <w:t>非甲烷总烃</w:t>
                  </w:r>
                </w:p>
              </w:tc>
              <w:tc>
                <w:tcPr>
                  <w:tcW w:w="1820" w:type="dxa"/>
                  <w:tcBorders>
                    <w:top w:val="single" w:color="auto" w:sz="4" w:space="0"/>
                    <w:left w:val="single" w:color="auto" w:sz="4" w:space="0"/>
                    <w:bottom w:val="single" w:color="auto" w:sz="4" w:space="0"/>
                    <w:right w:val="single" w:color="auto" w:sz="4" w:space="0"/>
                  </w:tcBorders>
                  <w:shd w:val="clear" w:color="auto" w:fill="auto"/>
                  <w:vAlign w:val="center"/>
                </w:tcPr>
                <w:p w14:paraId="2BEC9D65">
                  <w:pPr>
                    <w:keepNext w:val="0"/>
                    <w:keepLines w:val="0"/>
                    <w:widowControl/>
                    <w:suppressLineNumbers w:val="0"/>
                    <w:jc w:val="center"/>
                    <w:textAlignment w:val="center"/>
                    <w:rPr>
                      <w:rFonts w:hint="default" w:eastAsia="宋体"/>
                      <w:color w:val="auto"/>
                      <w:kern w:val="0"/>
                      <w:szCs w:val="21"/>
                      <w:highlight w:val="none"/>
                      <w:lang w:val="en-US" w:eastAsia="zh-CN" w:bidi="en-AU"/>
                    </w:rPr>
                  </w:pPr>
                  <w:r>
                    <w:rPr>
                      <w:rFonts w:hint="eastAsia" w:eastAsia="等线"/>
                      <w:color w:val="auto"/>
                      <w:kern w:val="0"/>
                      <w:szCs w:val="21"/>
                      <w:highlight w:val="none"/>
                      <w:lang w:val="en-US" w:eastAsia="zh-CN" w:bidi="en-AU"/>
                    </w:rPr>
                    <w:t>0.0072</w:t>
                  </w:r>
                </w:p>
              </w:tc>
            </w:tr>
            <w:tr w14:paraId="68C88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5" w:type="pct"/>
                  <w:gridSpan w:val="2"/>
                  <w:tcBorders>
                    <w:top w:val="single" w:color="auto" w:sz="4" w:space="0"/>
                    <w:left w:val="single" w:color="auto" w:sz="4" w:space="0"/>
                    <w:right w:val="single" w:color="auto" w:sz="4" w:space="0"/>
                  </w:tcBorders>
                  <w:shd w:val="clear" w:color="auto" w:fill="auto"/>
                  <w:vAlign w:val="center"/>
                </w:tcPr>
                <w:p w14:paraId="09AA14A7">
                  <w:pPr>
                    <w:autoSpaceDE w:val="0"/>
                    <w:autoSpaceDN w:val="0"/>
                    <w:adjustRightInd w:val="0"/>
                    <w:jc w:val="center"/>
                    <w:rPr>
                      <w:color w:val="auto"/>
                      <w:kern w:val="0"/>
                      <w:szCs w:val="21"/>
                      <w:highlight w:val="none"/>
                      <w:lang w:val="zh-CN" w:bidi="en-AU"/>
                    </w:rPr>
                  </w:pPr>
                  <w:r>
                    <w:rPr>
                      <w:color w:val="auto"/>
                      <w:kern w:val="0"/>
                      <w:szCs w:val="21"/>
                      <w:highlight w:val="none"/>
                      <w:lang w:val="zh-CN" w:bidi="en-AU"/>
                    </w:rPr>
                    <w:t>有组织排放总计</w:t>
                  </w:r>
                </w:p>
              </w:tc>
              <w:tc>
                <w:tcPr>
                  <w:tcW w:w="2946" w:type="pct"/>
                  <w:gridSpan w:val="3"/>
                  <w:tcBorders>
                    <w:top w:val="single" w:color="auto" w:sz="4" w:space="0"/>
                    <w:left w:val="single" w:color="auto" w:sz="4" w:space="0"/>
                    <w:right w:val="single" w:color="auto" w:sz="4" w:space="0"/>
                  </w:tcBorders>
                  <w:shd w:val="clear" w:color="auto" w:fill="auto"/>
                  <w:vAlign w:val="center"/>
                </w:tcPr>
                <w:p w14:paraId="60F70D32">
                  <w:pPr>
                    <w:autoSpaceDE w:val="0"/>
                    <w:autoSpaceDN w:val="0"/>
                    <w:adjustRightInd w:val="0"/>
                    <w:jc w:val="center"/>
                    <w:rPr>
                      <w:color w:val="auto"/>
                      <w:kern w:val="0"/>
                      <w:szCs w:val="21"/>
                      <w:highlight w:val="none"/>
                      <w:lang w:bidi="en-AU"/>
                    </w:rPr>
                  </w:pPr>
                  <w:r>
                    <w:rPr>
                      <w:color w:val="auto"/>
                      <w:kern w:val="0"/>
                      <w:szCs w:val="21"/>
                      <w:highlight w:val="none"/>
                      <w:lang w:bidi="en-AU"/>
                    </w:rPr>
                    <w:t>非甲烷总烃</w:t>
                  </w:r>
                </w:p>
              </w:tc>
              <w:tc>
                <w:tcPr>
                  <w:tcW w:w="1820" w:type="dxa"/>
                  <w:tcBorders>
                    <w:top w:val="single" w:color="auto" w:sz="4" w:space="0"/>
                    <w:left w:val="single" w:color="auto" w:sz="4" w:space="0"/>
                    <w:bottom w:val="single" w:color="auto" w:sz="4" w:space="0"/>
                    <w:right w:val="single" w:color="auto" w:sz="4" w:space="0"/>
                  </w:tcBorders>
                  <w:shd w:val="clear" w:color="auto" w:fill="auto"/>
                  <w:vAlign w:val="center"/>
                </w:tcPr>
                <w:p w14:paraId="493B0AD4">
                  <w:pPr>
                    <w:keepNext w:val="0"/>
                    <w:keepLines w:val="0"/>
                    <w:widowControl/>
                    <w:suppressLineNumbers w:val="0"/>
                    <w:jc w:val="center"/>
                    <w:textAlignment w:val="center"/>
                    <w:rPr>
                      <w:rFonts w:hint="default" w:eastAsia="宋体"/>
                      <w:color w:val="auto"/>
                      <w:kern w:val="0"/>
                      <w:szCs w:val="21"/>
                      <w:highlight w:val="none"/>
                      <w:lang w:val="en-US" w:eastAsia="zh-CN" w:bidi="en-AU"/>
                    </w:rPr>
                  </w:pPr>
                  <w:r>
                    <w:rPr>
                      <w:rFonts w:hint="eastAsia" w:eastAsia="等线"/>
                      <w:color w:val="auto"/>
                      <w:kern w:val="0"/>
                      <w:szCs w:val="21"/>
                      <w:highlight w:val="none"/>
                      <w:lang w:val="en-US" w:eastAsia="zh-CN" w:bidi="en-AU"/>
                    </w:rPr>
                    <w:t>0.0072</w:t>
                  </w:r>
                </w:p>
              </w:tc>
            </w:tr>
          </w:tbl>
          <w:p w14:paraId="1FDFD9E8">
            <w:pPr>
              <w:pStyle w:val="95"/>
              <w:spacing w:before="120"/>
              <w:ind w:left="0"/>
              <w:rPr>
                <w:b/>
                <w:bCs/>
                <w:color w:val="auto"/>
                <w:szCs w:val="21"/>
                <w:highlight w:val="none"/>
              </w:rPr>
            </w:pPr>
            <w:r>
              <w:rPr>
                <w:b/>
                <w:bCs/>
                <w:color w:val="auto"/>
                <w:szCs w:val="21"/>
                <w:highlight w:val="none"/>
              </w:rPr>
              <w:t>大气污染物无组织排放量核算表</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80"/>
              <w:gridCol w:w="641"/>
              <w:gridCol w:w="587"/>
              <w:gridCol w:w="320"/>
              <w:gridCol w:w="319"/>
              <w:gridCol w:w="854"/>
              <w:gridCol w:w="3178"/>
              <w:gridCol w:w="1377"/>
              <w:gridCol w:w="1086"/>
            </w:tblGrid>
            <w:tr w14:paraId="39530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4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DAB389C">
                  <w:pPr>
                    <w:adjustRightInd w:val="0"/>
                    <w:snapToGrid w:val="0"/>
                    <w:jc w:val="center"/>
                    <w:rPr>
                      <w:b/>
                      <w:color w:val="auto"/>
                      <w:kern w:val="0"/>
                      <w:szCs w:val="21"/>
                      <w:highlight w:val="none"/>
                    </w:rPr>
                  </w:pPr>
                  <w:r>
                    <w:rPr>
                      <w:b/>
                      <w:color w:val="auto"/>
                      <w:kern w:val="0"/>
                      <w:szCs w:val="21"/>
                      <w:highlight w:val="none"/>
                      <w:lang w:bidi="en-AU"/>
                    </w:rPr>
                    <w:t>序号</w:t>
                  </w:r>
                </w:p>
              </w:tc>
              <w:tc>
                <w:tcPr>
                  <w:tcW w:w="64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B910247">
                  <w:pPr>
                    <w:adjustRightInd w:val="0"/>
                    <w:snapToGrid w:val="0"/>
                    <w:jc w:val="center"/>
                    <w:rPr>
                      <w:b/>
                      <w:color w:val="auto"/>
                      <w:kern w:val="0"/>
                      <w:szCs w:val="21"/>
                      <w:highlight w:val="none"/>
                    </w:rPr>
                  </w:pPr>
                  <w:r>
                    <w:rPr>
                      <w:b/>
                      <w:color w:val="auto"/>
                      <w:kern w:val="0"/>
                      <w:szCs w:val="21"/>
                      <w:highlight w:val="none"/>
                      <w:lang w:bidi="en-AU"/>
                    </w:rPr>
                    <w:t>排放口编号</w:t>
                  </w:r>
                </w:p>
              </w:tc>
              <w:tc>
                <w:tcPr>
                  <w:tcW w:w="58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45C5D31">
                  <w:pPr>
                    <w:adjustRightInd w:val="0"/>
                    <w:snapToGrid w:val="0"/>
                    <w:jc w:val="center"/>
                    <w:rPr>
                      <w:b/>
                      <w:color w:val="auto"/>
                      <w:kern w:val="0"/>
                      <w:szCs w:val="21"/>
                      <w:highlight w:val="none"/>
                    </w:rPr>
                  </w:pPr>
                  <w:r>
                    <w:rPr>
                      <w:b/>
                      <w:color w:val="auto"/>
                      <w:kern w:val="0"/>
                      <w:szCs w:val="21"/>
                      <w:highlight w:val="none"/>
                      <w:lang w:bidi="en-AU"/>
                    </w:rPr>
                    <w:t>产污环节</w:t>
                  </w:r>
                </w:p>
              </w:tc>
              <w:tc>
                <w:tcPr>
                  <w:tcW w:w="639"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10121AD">
                  <w:pPr>
                    <w:adjustRightInd w:val="0"/>
                    <w:snapToGrid w:val="0"/>
                    <w:jc w:val="center"/>
                    <w:rPr>
                      <w:b/>
                      <w:color w:val="auto"/>
                      <w:kern w:val="0"/>
                      <w:szCs w:val="21"/>
                      <w:highlight w:val="none"/>
                    </w:rPr>
                  </w:pPr>
                  <w:r>
                    <w:rPr>
                      <w:b/>
                      <w:color w:val="auto"/>
                      <w:kern w:val="0"/>
                      <w:szCs w:val="21"/>
                      <w:highlight w:val="none"/>
                      <w:lang w:bidi="en-AU"/>
                    </w:rPr>
                    <w:t>污染物</w:t>
                  </w:r>
                </w:p>
              </w:tc>
              <w:tc>
                <w:tcPr>
                  <w:tcW w:w="85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4C28C7B">
                  <w:pPr>
                    <w:adjustRightInd w:val="0"/>
                    <w:snapToGrid w:val="0"/>
                    <w:jc w:val="center"/>
                    <w:rPr>
                      <w:b/>
                      <w:color w:val="auto"/>
                      <w:kern w:val="0"/>
                      <w:szCs w:val="21"/>
                      <w:highlight w:val="none"/>
                    </w:rPr>
                  </w:pPr>
                  <w:r>
                    <w:rPr>
                      <w:b/>
                      <w:color w:val="auto"/>
                      <w:kern w:val="0"/>
                      <w:szCs w:val="21"/>
                      <w:highlight w:val="none"/>
                      <w:lang w:bidi="en-AU"/>
                    </w:rPr>
                    <w:t>主要污染物防治措施</w:t>
                  </w:r>
                </w:p>
              </w:tc>
              <w:tc>
                <w:tcPr>
                  <w:tcW w:w="455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7B0FFBD7">
                  <w:pPr>
                    <w:adjustRightInd w:val="0"/>
                    <w:snapToGrid w:val="0"/>
                    <w:jc w:val="center"/>
                    <w:rPr>
                      <w:b/>
                      <w:color w:val="auto"/>
                      <w:kern w:val="0"/>
                      <w:szCs w:val="21"/>
                      <w:highlight w:val="none"/>
                    </w:rPr>
                  </w:pPr>
                  <w:r>
                    <w:rPr>
                      <w:b/>
                      <w:color w:val="auto"/>
                      <w:kern w:val="0"/>
                      <w:szCs w:val="21"/>
                      <w:highlight w:val="none"/>
                      <w:lang w:bidi="en-AU"/>
                    </w:rPr>
                    <w:t>国家或地方污染物排放标准</w:t>
                  </w:r>
                </w:p>
              </w:tc>
              <w:tc>
                <w:tcPr>
                  <w:tcW w:w="108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4F9521B">
                  <w:pPr>
                    <w:adjustRightInd w:val="0"/>
                    <w:snapToGrid w:val="0"/>
                    <w:jc w:val="center"/>
                    <w:rPr>
                      <w:b/>
                      <w:color w:val="auto"/>
                      <w:kern w:val="0"/>
                      <w:szCs w:val="21"/>
                      <w:highlight w:val="none"/>
                    </w:rPr>
                  </w:pPr>
                  <w:r>
                    <w:rPr>
                      <w:b/>
                      <w:color w:val="auto"/>
                      <w:kern w:val="0"/>
                      <w:szCs w:val="21"/>
                      <w:highlight w:val="none"/>
                      <w:lang w:bidi="en-AU"/>
                    </w:rPr>
                    <w:t>年排放量（t/a）</w:t>
                  </w:r>
                </w:p>
              </w:tc>
            </w:tr>
            <w:tr w14:paraId="08950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3A5535D">
                  <w:pPr>
                    <w:rPr>
                      <w:color w:val="auto"/>
                      <w:sz w:val="20"/>
                      <w:szCs w:val="20"/>
                      <w:highlight w:val="none"/>
                    </w:rPr>
                  </w:pPr>
                </w:p>
              </w:tc>
              <w:tc>
                <w:tcPr>
                  <w:tcW w:w="64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A68A55A">
                  <w:pPr>
                    <w:rPr>
                      <w:color w:val="auto"/>
                      <w:sz w:val="20"/>
                      <w:szCs w:val="20"/>
                      <w:highlight w:val="none"/>
                    </w:rPr>
                  </w:pPr>
                </w:p>
              </w:tc>
              <w:tc>
                <w:tcPr>
                  <w:tcW w:w="58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9A82110">
                  <w:pPr>
                    <w:rPr>
                      <w:color w:val="auto"/>
                      <w:sz w:val="20"/>
                      <w:szCs w:val="20"/>
                      <w:highlight w:val="none"/>
                    </w:rPr>
                  </w:pPr>
                </w:p>
              </w:tc>
              <w:tc>
                <w:tcPr>
                  <w:tcW w:w="639"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175264D">
                  <w:pPr>
                    <w:rPr>
                      <w:color w:val="auto"/>
                      <w:sz w:val="20"/>
                      <w:szCs w:val="20"/>
                      <w:highlight w:val="none"/>
                    </w:rPr>
                  </w:pPr>
                </w:p>
              </w:tc>
              <w:tc>
                <w:tcPr>
                  <w:tcW w:w="85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3168FFC">
                  <w:pPr>
                    <w:rPr>
                      <w:color w:val="auto"/>
                      <w:sz w:val="20"/>
                      <w:szCs w:val="20"/>
                      <w:highlight w:val="none"/>
                    </w:rPr>
                  </w:pPr>
                </w:p>
              </w:tc>
              <w:tc>
                <w:tcPr>
                  <w:tcW w:w="3178" w:type="dxa"/>
                  <w:tcBorders>
                    <w:top w:val="single" w:color="auto" w:sz="4" w:space="0"/>
                    <w:left w:val="single" w:color="auto" w:sz="4" w:space="0"/>
                    <w:bottom w:val="single" w:color="auto" w:sz="4" w:space="0"/>
                    <w:right w:val="single" w:color="auto" w:sz="4" w:space="0"/>
                  </w:tcBorders>
                  <w:shd w:val="clear" w:color="auto" w:fill="auto"/>
                  <w:vAlign w:val="center"/>
                </w:tcPr>
                <w:p w14:paraId="2E0F0127">
                  <w:pPr>
                    <w:adjustRightInd w:val="0"/>
                    <w:snapToGrid w:val="0"/>
                    <w:jc w:val="center"/>
                    <w:rPr>
                      <w:b/>
                      <w:color w:val="auto"/>
                      <w:kern w:val="0"/>
                      <w:szCs w:val="21"/>
                      <w:highlight w:val="none"/>
                    </w:rPr>
                  </w:pPr>
                  <w:r>
                    <w:rPr>
                      <w:b/>
                      <w:color w:val="auto"/>
                      <w:kern w:val="0"/>
                      <w:szCs w:val="21"/>
                      <w:highlight w:val="none"/>
                      <w:lang w:bidi="en-AU"/>
                    </w:rPr>
                    <w:t>标准名称</w:t>
                  </w:r>
                </w:p>
              </w:tc>
              <w:tc>
                <w:tcPr>
                  <w:tcW w:w="1377" w:type="dxa"/>
                  <w:tcBorders>
                    <w:top w:val="single" w:color="auto" w:sz="4" w:space="0"/>
                    <w:left w:val="single" w:color="auto" w:sz="4" w:space="0"/>
                    <w:bottom w:val="single" w:color="auto" w:sz="4" w:space="0"/>
                    <w:right w:val="single" w:color="auto" w:sz="4" w:space="0"/>
                  </w:tcBorders>
                  <w:shd w:val="clear" w:color="auto" w:fill="auto"/>
                  <w:vAlign w:val="center"/>
                </w:tcPr>
                <w:p w14:paraId="45F3C866">
                  <w:pPr>
                    <w:adjustRightInd w:val="0"/>
                    <w:snapToGrid w:val="0"/>
                    <w:jc w:val="center"/>
                    <w:rPr>
                      <w:b/>
                      <w:color w:val="auto"/>
                      <w:kern w:val="0"/>
                      <w:szCs w:val="21"/>
                      <w:highlight w:val="none"/>
                    </w:rPr>
                  </w:pPr>
                  <w:r>
                    <w:rPr>
                      <w:b/>
                      <w:color w:val="auto"/>
                      <w:szCs w:val="21"/>
                      <w:highlight w:val="none"/>
                      <w:lang w:val="zh-CN" w:bidi="en-AU"/>
                    </w:rPr>
                    <w:t>浓度限值（</w:t>
                  </w:r>
                  <w:r>
                    <w:rPr>
                      <w:rFonts w:hint="eastAsia"/>
                      <w:b/>
                      <w:color w:val="auto"/>
                      <w:szCs w:val="21"/>
                      <w:highlight w:val="none"/>
                      <w:lang w:val="en-US" w:eastAsia="zh-CN" w:bidi="en-AU"/>
                    </w:rPr>
                    <w:t>m</w:t>
                  </w:r>
                  <w:r>
                    <w:rPr>
                      <w:b/>
                      <w:color w:val="auto"/>
                      <w:szCs w:val="21"/>
                      <w:highlight w:val="none"/>
                      <w:lang w:val="zh-CN" w:bidi="en-AU"/>
                    </w:rPr>
                    <w:t>g/m</w:t>
                  </w:r>
                  <w:r>
                    <w:rPr>
                      <w:b/>
                      <w:color w:val="auto"/>
                      <w:szCs w:val="21"/>
                      <w:highlight w:val="none"/>
                      <w:vertAlign w:val="superscript"/>
                      <w:lang w:val="zh-CN" w:bidi="en-AU"/>
                    </w:rPr>
                    <w:t>3</w:t>
                  </w:r>
                  <w:r>
                    <w:rPr>
                      <w:b/>
                      <w:color w:val="auto"/>
                      <w:szCs w:val="21"/>
                      <w:highlight w:val="none"/>
                      <w:lang w:val="zh-CN" w:bidi="en-AU"/>
                    </w:rPr>
                    <w:t>）</w:t>
                  </w:r>
                </w:p>
              </w:tc>
              <w:tc>
                <w:tcPr>
                  <w:tcW w:w="108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FD457BA">
                  <w:pPr>
                    <w:rPr>
                      <w:color w:val="auto"/>
                      <w:sz w:val="20"/>
                      <w:szCs w:val="20"/>
                      <w:highlight w:val="none"/>
                    </w:rPr>
                  </w:pPr>
                </w:p>
              </w:tc>
            </w:tr>
            <w:tr w14:paraId="5D6C2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480" w:type="dxa"/>
                  <w:vMerge w:val="restart"/>
                  <w:tcBorders>
                    <w:top w:val="single" w:color="auto" w:sz="4" w:space="0"/>
                    <w:left w:val="single" w:color="auto" w:sz="4" w:space="0"/>
                    <w:right w:val="single" w:color="auto" w:sz="4" w:space="0"/>
                  </w:tcBorders>
                  <w:shd w:val="clear" w:color="auto" w:fill="auto"/>
                  <w:vAlign w:val="center"/>
                </w:tcPr>
                <w:p w14:paraId="034C42DC">
                  <w:pPr>
                    <w:adjustRightInd w:val="0"/>
                    <w:snapToGrid w:val="0"/>
                    <w:jc w:val="center"/>
                    <w:rPr>
                      <w:color w:val="auto"/>
                      <w:kern w:val="0"/>
                      <w:szCs w:val="21"/>
                      <w:highlight w:val="none"/>
                    </w:rPr>
                  </w:pPr>
                  <w:r>
                    <w:rPr>
                      <w:color w:val="auto"/>
                      <w:kern w:val="0"/>
                      <w:szCs w:val="21"/>
                      <w:highlight w:val="none"/>
                      <w:lang w:bidi="en-AU"/>
                    </w:rPr>
                    <w:t>1</w:t>
                  </w:r>
                </w:p>
              </w:tc>
              <w:tc>
                <w:tcPr>
                  <w:tcW w:w="641" w:type="dxa"/>
                  <w:vMerge w:val="restart"/>
                  <w:tcBorders>
                    <w:top w:val="single" w:color="auto" w:sz="4" w:space="0"/>
                    <w:left w:val="single" w:color="auto" w:sz="4" w:space="0"/>
                    <w:right w:val="single" w:color="auto" w:sz="4" w:space="0"/>
                  </w:tcBorders>
                  <w:shd w:val="clear" w:color="auto" w:fill="auto"/>
                  <w:vAlign w:val="center"/>
                </w:tcPr>
                <w:p w14:paraId="4E9D8462">
                  <w:pPr>
                    <w:adjustRightInd w:val="0"/>
                    <w:snapToGrid w:val="0"/>
                    <w:jc w:val="center"/>
                    <w:rPr>
                      <w:color w:val="auto"/>
                      <w:kern w:val="0"/>
                      <w:szCs w:val="21"/>
                      <w:highlight w:val="none"/>
                    </w:rPr>
                  </w:pPr>
                  <w:r>
                    <w:rPr>
                      <w:color w:val="auto"/>
                      <w:kern w:val="0"/>
                      <w:szCs w:val="21"/>
                      <w:highlight w:val="none"/>
                      <w:lang w:bidi="en-AU"/>
                    </w:rPr>
                    <w:t>/</w:t>
                  </w:r>
                </w:p>
              </w:tc>
              <w:tc>
                <w:tcPr>
                  <w:tcW w:w="587" w:type="dxa"/>
                  <w:vMerge w:val="restart"/>
                  <w:tcBorders>
                    <w:top w:val="single" w:color="auto" w:sz="4" w:space="0"/>
                    <w:left w:val="single" w:color="auto" w:sz="4" w:space="0"/>
                    <w:right w:val="single" w:color="auto" w:sz="4" w:space="0"/>
                  </w:tcBorders>
                  <w:shd w:val="clear" w:color="auto" w:fill="auto"/>
                  <w:vAlign w:val="center"/>
                </w:tcPr>
                <w:p w14:paraId="7B362726">
                  <w:pPr>
                    <w:pStyle w:val="61"/>
                    <w:autoSpaceDE w:val="0"/>
                    <w:autoSpaceDN w:val="0"/>
                    <w:adjustRightInd w:val="0"/>
                    <w:jc w:val="center"/>
                    <w:rPr>
                      <w:rFonts w:ascii="Times New Roman" w:hAnsi="Times New Roman"/>
                      <w:color w:val="auto"/>
                      <w:sz w:val="21"/>
                      <w:szCs w:val="21"/>
                      <w:highlight w:val="none"/>
                    </w:rPr>
                  </w:pPr>
                  <w:r>
                    <w:rPr>
                      <w:rFonts w:ascii="Times New Roman" w:hAnsi="Times New Roman"/>
                      <w:color w:val="auto"/>
                      <w:sz w:val="21"/>
                      <w:szCs w:val="21"/>
                      <w:highlight w:val="none"/>
                    </w:rPr>
                    <w:t>生产车间</w:t>
                  </w:r>
                </w:p>
              </w:tc>
              <w:tc>
                <w:tcPr>
                  <w:tcW w:w="639" w:type="dxa"/>
                  <w:gridSpan w:val="2"/>
                  <w:tcBorders>
                    <w:top w:val="single" w:color="auto" w:sz="4" w:space="0"/>
                    <w:left w:val="single" w:color="auto" w:sz="4" w:space="0"/>
                    <w:right w:val="single" w:color="auto" w:sz="4" w:space="0"/>
                  </w:tcBorders>
                  <w:shd w:val="clear" w:color="auto" w:fill="auto"/>
                  <w:vAlign w:val="center"/>
                </w:tcPr>
                <w:p w14:paraId="74361670">
                  <w:pPr>
                    <w:autoSpaceDE w:val="0"/>
                    <w:autoSpaceDN w:val="0"/>
                    <w:adjustRightInd w:val="0"/>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非甲烷总烃</w:t>
                  </w:r>
                </w:p>
              </w:tc>
              <w:tc>
                <w:tcPr>
                  <w:tcW w:w="854" w:type="dxa"/>
                  <w:vMerge w:val="restart"/>
                  <w:tcBorders>
                    <w:top w:val="single" w:color="auto" w:sz="4" w:space="0"/>
                    <w:left w:val="single" w:color="auto" w:sz="4" w:space="0"/>
                    <w:right w:val="single" w:color="auto" w:sz="4" w:space="0"/>
                  </w:tcBorders>
                  <w:shd w:val="clear" w:color="auto" w:fill="auto"/>
                  <w:vAlign w:val="center"/>
                </w:tcPr>
                <w:p w14:paraId="257B6E5D">
                  <w:pPr>
                    <w:adjustRightInd w:val="0"/>
                    <w:snapToGrid w:val="0"/>
                    <w:jc w:val="center"/>
                    <w:rPr>
                      <w:rFonts w:hint="eastAsia"/>
                      <w:color w:val="auto"/>
                      <w:kern w:val="0"/>
                      <w:szCs w:val="21"/>
                      <w:highlight w:val="none"/>
                    </w:rPr>
                  </w:pPr>
                  <w:r>
                    <w:rPr>
                      <w:rFonts w:hint="eastAsia"/>
                      <w:color w:val="auto"/>
                      <w:kern w:val="0"/>
                      <w:szCs w:val="21"/>
                      <w:highlight w:val="none"/>
                      <w:lang w:eastAsia="zh-CN"/>
                    </w:rPr>
                    <w:t>加强通风，无组织排放</w:t>
                  </w:r>
                </w:p>
              </w:tc>
              <w:tc>
                <w:tcPr>
                  <w:tcW w:w="3178" w:type="dxa"/>
                  <w:vMerge w:val="restart"/>
                  <w:tcBorders>
                    <w:top w:val="single" w:color="auto" w:sz="4" w:space="0"/>
                    <w:left w:val="single" w:color="auto" w:sz="4" w:space="0"/>
                    <w:right w:val="single" w:color="auto" w:sz="4" w:space="0"/>
                  </w:tcBorders>
                  <w:shd w:val="clear" w:color="auto" w:fill="auto"/>
                  <w:vAlign w:val="center"/>
                </w:tcPr>
                <w:p w14:paraId="1FB1B9BB">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color w:val="auto"/>
                    </w:rPr>
                    <w:t>《合成树脂工业污染物排放标准》（GB31572-2015）表9企业边界大气污染物浓度限值和广东省地方标准《大气污染物排放限值》(DB44/27－2001)（第二时段）无组织排放监控浓度限值较严值</w:t>
                  </w:r>
                </w:p>
              </w:tc>
              <w:tc>
                <w:tcPr>
                  <w:tcW w:w="1377" w:type="dxa"/>
                  <w:tcBorders>
                    <w:top w:val="single" w:color="auto" w:sz="4" w:space="0"/>
                    <w:left w:val="single" w:color="auto" w:sz="4" w:space="0"/>
                    <w:right w:val="single" w:color="auto" w:sz="4" w:space="0"/>
                  </w:tcBorders>
                  <w:shd w:val="clear" w:color="auto" w:fill="auto"/>
                  <w:vAlign w:val="center"/>
                </w:tcPr>
                <w:p w14:paraId="214B4F94">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4.0</w:t>
                  </w:r>
                </w:p>
              </w:tc>
              <w:tc>
                <w:tcPr>
                  <w:tcW w:w="1086" w:type="dxa"/>
                  <w:tcBorders>
                    <w:top w:val="single" w:color="auto" w:sz="4" w:space="0"/>
                    <w:left w:val="single" w:color="auto" w:sz="4" w:space="0"/>
                    <w:right w:val="single" w:color="auto" w:sz="4" w:space="0"/>
                  </w:tcBorders>
                  <w:shd w:val="clear" w:color="auto" w:fill="auto"/>
                  <w:vAlign w:val="center"/>
                </w:tcPr>
                <w:p w14:paraId="318DA9B4">
                  <w:pPr>
                    <w:adjustRightInd w:val="0"/>
                    <w:snapToGrid w:val="0"/>
                    <w:jc w:val="center"/>
                    <w:rPr>
                      <w:rFonts w:hint="default" w:eastAsia="宋体"/>
                      <w:color w:val="auto"/>
                      <w:kern w:val="0"/>
                      <w:szCs w:val="21"/>
                      <w:highlight w:val="none"/>
                      <w:lang w:val="en-US" w:eastAsia="zh-CN"/>
                    </w:rPr>
                  </w:pPr>
                  <w:r>
                    <w:rPr>
                      <w:rFonts w:hint="eastAsia" w:eastAsia="等线"/>
                      <w:color w:val="auto"/>
                      <w:kern w:val="0"/>
                      <w:szCs w:val="21"/>
                      <w:highlight w:val="none"/>
                      <w:lang w:val="en-US" w:eastAsia="zh-CN" w:bidi="en-AU"/>
                    </w:rPr>
                    <w:t>0.0717</w:t>
                  </w:r>
                </w:p>
              </w:tc>
            </w:tr>
            <w:tr w14:paraId="2FB60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63" w:hRule="atLeast"/>
              </w:trPr>
              <w:tc>
                <w:tcPr>
                  <w:tcW w:w="480" w:type="dxa"/>
                  <w:vMerge w:val="continue"/>
                  <w:tcBorders>
                    <w:left w:val="single" w:color="auto" w:sz="4" w:space="0"/>
                    <w:right w:val="single" w:color="auto" w:sz="4" w:space="0"/>
                  </w:tcBorders>
                  <w:shd w:val="clear" w:color="auto" w:fill="auto"/>
                  <w:vAlign w:val="center"/>
                </w:tcPr>
                <w:p w14:paraId="340C0ACF">
                  <w:pPr>
                    <w:adjustRightInd w:val="0"/>
                    <w:snapToGrid w:val="0"/>
                    <w:jc w:val="center"/>
                    <w:rPr>
                      <w:rFonts w:hint="eastAsia"/>
                      <w:color w:val="auto"/>
                      <w:kern w:val="0"/>
                      <w:szCs w:val="21"/>
                      <w:highlight w:val="none"/>
                      <w:lang w:val="en-US" w:eastAsia="zh-CN" w:bidi="en-AU"/>
                    </w:rPr>
                  </w:pPr>
                </w:p>
              </w:tc>
              <w:tc>
                <w:tcPr>
                  <w:tcW w:w="641" w:type="dxa"/>
                  <w:vMerge w:val="continue"/>
                  <w:tcBorders>
                    <w:left w:val="single" w:color="auto" w:sz="4" w:space="0"/>
                    <w:right w:val="single" w:color="auto" w:sz="4" w:space="0"/>
                  </w:tcBorders>
                  <w:shd w:val="clear" w:color="auto" w:fill="auto"/>
                  <w:vAlign w:val="center"/>
                </w:tcPr>
                <w:p w14:paraId="16EAAA11">
                  <w:pPr>
                    <w:adjustRightInd w:val="0"/>
                    <w:snapToGrid w:val="0"/>
                    <w:jc w:val="center"/>
                    <w:rPr>
                      <w:rFonts w:hint="eastAsia"/>
                      <w:color w:val="auto"/>
                      <w:kern w:val="0"/>
                      <w:szCs w:val="21"/>
                      <w:highlight w:val="none"/>
                      <w:lang w:val="en-US" w:eastAsia="zh-CN" w:bidi="en-AU"/>
                    </w:rPr>
                  </w:pPr>
                </w:p>
              </w:tc>
              <w:tc>
                <w:tcPr>
                  <w:tcW w:w="587" w:type="dxa"/>
                  <w:vMerge w:val="continue"/>
                  <w:tcBorders>
                    <w:left w:val="single" w:color="auto" w:sz="4" w:space="0"/>
                    <w:right w:val="single" w:color="auto" w:sz="4" w:space="0"/>
                  </w:tcBorders>
                  <w:shd w:val="clear" w:color="auto" w:fill="auto"/>
                  <w:vAlign w:val="center"/>
                </w:tcPr>
                <w:p w14:paraId="39331ADA">
                  <w:pPr>
                    <w:pStyle w:val="61"/>
                    <w:autoSpaceDE w:val="0"/>
                    <w:autoSpaceDN w:val="0"/>
                    <w:adjustRightInd w:val="0"/>
                    <w:jc w:val="center"/>
                    <w:rPr>
                      <w:rFonts w:ascii="Times New Roman" w:hAnsi="Times New Roman"/>
                      <w:color w:val="auto"/>
                      <w:sz w:val="21"/>
                      <w:szCs w:val="21"/>
                      <w:highlight w:val="none"/>
                    </w:rPr>
                  </w:pPr>
                </w:p>
              </w:tc>
              <w:tc>
                <w:tcPr>
                  <w:tcW w:w="639" w:type="dxa"/>
                  <w:gridSpan w:val="2"/>
                  <w:tcBorders>
                    <w:top w:val="single" w:color="auto" w:sz="4" w:space="0"/>
                    <w:left w:val="single" w:color="auto" w:sz="4" w:space="0"/>
                    <w:right w:val="single" w:color="auto" w:sz="4" w:space="0"/>
                  </w:tcBorders>
                  <w:shd w:val="clear" w:color="auto" w:fill="auto"/>
                  <w:vAlign w:val="center"/>
                </w:tcPr>
                <w:p w14:paraId="7DEEC9E8">
                  <w:pPr>
                    <w:autoSpaceDE w:val="0"/>
                    <w:autoSpaceDN w:val="0"/>
                    <w:adjustRightInd w:val="0"/>
                    <w:jc w:val="center"/>
                    <w:rPr>
                      <w:rFonts w:hint="default" w:ascii="Times New Roman" w:hAnsi="Times New Roman" w:eastAsia="宋体" w:cs="Times New Roman"/>
                      <w:color w:val="auto"/>
                      <w:kern w:val="2"/>
                      <w:sz w:val="21"/>
                      <w:szCs w:val="21"/>
                      <w:highlight w:val="none"/>
                      <w:lang w:val="en-US" w:eastAsia="zh-CN" w:bidi="en-AU"/>
                    </w:rPr>
                  </w:pPr>
                  <w:r>
                    <w:rPr>
                      <w:color w:val="auto"/>
                      <w:lang w:val="en-US"/>
                    </w:rPr>
                    <w:t>颗粒物</w:t>
                  </w:r>
                </w:p>
              </w:tc>
              <w:tc>
                <w:tcPr>
                  <w:tcW w:w="854" w:type="dxa"/>
                  <w:vMerge w:val="continue"/>
                  <w:tcBorders>
                    <w:left w:val="single" w:color="auto" w:sz="4" w:space="0"/>
                    <w:right w:val="single" w:color="auto" w:sz="4" w:space="0"/>
                  </w:tcBorders>
                  <w:shd w:val="clear" w:color="auto" w:fill="auto"/>
                  <w:vAlign w:val="center"/>
                </w:tcPr>
                <w:p w14:paraId="2E6A1811">
                  <w:pPr>
                    <w:adjustRightInd w:val="0"/>
                    <w:snapToGrid w:val="0"/>
                    <w:jc w:val="center"/>
                    <w:rPr>
                      <w:rFonts w:hint="eastAsia"/>
                      <w:color w:val="auto"/>
                      <w:kern w:val="0"/>
                      <w:szCs w:val="21"/>
                      <w:highlight w:val="none"/>
                      <w:lang w:val="en-US" w:eastAsia="zh-CN" w:bidi="en-AU"/>
                    </w:rPr>
                  </w:pPr>
                </w:p>
              </w:tc>
              <w:tc>
                <w:tcPr>
                  <w:tcW w:w="3178" w:type="dxa"/>
                  <w:vMerge w:val="continue"/>
                  <w:tcBorders>
                    <w:left w:val="single" w:color="auto" w:sz="4" w:space="0"/>
                    <w:right w:val="single" w:color="auto" w:sz="4" w:space="0"/>
                  </w:tcBorders>
                  <w:shd w:val="clear" w:color="auto" w:fill="auto"/>
                  <w:vAlign w:val="center"/>
                </w:tcPr>
                <w:p w14:paraId="51CB0C0E">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p>
              </w:tc>
              <w:tc>
                <w:tcPr>
                  <w:tcW w:w="1377" w:type="dxa"/>
                  <w:tcBorders>
                    <w:top w:val="single" w:color="auto" w:sz="4" w:space="0"/>
                    <w:left w:val="single" w:color="auto" w:sz="4" w:space="0"/>
                    <w:right w:val="single" w:color="auto" w:sz="4" w:space="0"/>
                  </w:tcBorders>
                  <w:shd w:val="clear" w:color="auto" w:fill="auto"/>
                  <w:vAlign w:val="center"/>
                </w:tcPr>
                <w:p w14:paraId="6E1B3FA6">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0"/>
                      <w:sz w:val="21"/>
                      <w:szCs w:val="21"/>
                      <w:highlight w:val="none"/>
                      <w:lang w:val="en-US" w:eastAsia="zh-CN" w:bidi="en-AU"/>
                    </w:rPr>
                  </w:pPr>
                  <w:r>
                    <w:rPr>
                      <w:rFonts w:hint="eastAsia" w:ascii="Times New Roman" w:hAnsi="Times New Roman" w:eastAsia="宋体" w:cs="Times New Roman"/>
                      <w:color w:val="auto"/>
                      <w:sz w:val="21"/>
                      <w:szCs w:val="21"/>
                      <w:highlight w:val="none"/>
                      <w:lang w:val="en-US" w:eastAsia="zh-CN"/>
                    </w:rPr>
                    <w:t>2.0</w:t>
                  </w:r>
                </w:p>
              </w:tc>
              <w:tc>
                <w:tcPr>
                  <w:tcW w:w="1086" w:type="dxa"/>
                  <w:tcBorders>
                    <w:left w:val="single" w:color="auto" w:sz="4" w:space="0"/>
                    <w:bottom w:val="single" w:color="auto" w:sz="4" w:space="0"/>
                    <w:right w:val="single" w:color="auto" w:sz="4" w:space="0"/>
                  </w:tcBorders>
                  <w:shd w:val="clear" w:color="auto" w:fill="auto"/>
                  <w:vAlign w:val="center"/>
                </w:tcPr>
                <w:p w14:paraId="6B6EC0DC">
                  <w:pPr>
                    <w:adjustRightInd w:val="0"/>
                    <w:snapToGrid w:val="0"/>
                    <w:jc w:val="center"/>
                    <w:rPr>
                      <w:rFonts w:hint="default"/>
                      <w:color w:val="auto"/>
                      <w:kern w:val="0"/>
                      <w:sz w:val="21"/>
                      <w:szCs w:val="21"/>
                      <w:highlight w:val="none"/>
                      <w:lang w:val="en-US" w:eastAsia="zh-CN" w:bidi="ar-SA"/>
                    </w:rPr>
                  </w:pPr>
                  <w:r>
                    <w:rPr>
                      <w:rFonts w:hint="eastAsia"/>
                      <w:color w:val="auto"/>
                      <w:kern w:val="0"/>
                      <w:sz w:val="21"/>
                      <w:szCs w:val="21"/>
                      <w:highlight w:val="none"/>
                      <w:lang w:val="en-US" w:eastAsia="zh-CN" w:bidi="ar-SA"/>
                    </w:rPr>
                    <w:t>0.005</w:t>
                  </w:r>
                </w:p>
              </w:tc>
            </w:tr>
            <w:tr w14:paraId="4FCAD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480" w:type="dxa"/>
                  <w:vMerge w:val="continue"/>
                  <w:tcBorders>
                    <w:left w:val="single" w:color="auto" w:sz="4" w:space="0"/>
                    <w:right w:val="single" w:color="auto" w:sz="4" w:space="0"/>
                  </w:tcBorders>
                  <w:shd w:val="clear" w:color="auto" w:fill="auto"/>
                  <w:vAlign w:val="center"/>
                </w:tcPr>
                <w:p w14:paraId="7D53FD63">
                  <w:pPr>
                    <w:adjustRightInd w:val="0"/>
                    <w:snapToGrid w:val="0"/>
                    <w:jc w:val="center"/>
                    <w:rPr>
                      <w:rFonts w:hint="eastAsia" w:eastAsia="宋体"/>
                      <w:color w:val="auto"/>
                      <w:kern w:val="0"/>
                      <w:szCs w:val="21"/>
                      <w:highlight w:val="none"/>
                      <w:lang w:val="en-US" w:eastAsia="zh-CN" w:bidi="en-AU"/>
                    </w:rPr>
                  </w:pPr>
                </w:p>
              </w:tc>
              <w:tc>
                <w:tcPr>
                  <w:tcW w:w="641" w:type="dxa"/>
                  <w:vMerge w:val="continue"/>
                  <w:tcBorders>
                    <w:left w:val="single" w:color="auto" w:sz="4" w:space="0"/>
                    <w:right w:val="single" w:color="auto" w:sz="4" w:space="0"/>
                  </w:tcBorders>
                  <w:shd w:val="clear" w:color="auto" w:fill="auto"/>
                  <w:vAlign w:val="center"/>
                </w:tcPr>
                <w:p w14:paraId="538F5E49">
                  <w:pPr>
                    <w:adjustRightInd w:val="0"/>
                    <w:snapToGrid w:val="0"/>
                    <w:jc w:val="center"/>
                    <w:rPr>
                      <w:rFonts w:hint="eastAsia" w:eastAsia="宋体"/>
                      <w:color w:val="auto"/>
                      <w:kern w:val="0"/>
                      <w:szCs w:val="21"/>
                      <w:highlight w:val="none"/>
                      <w:lang w:val="en-US" w:eastAsia="zh-CN" w:bidi="en-AU"/>
                    </w:rPr>
                  </w:pPr>
                </w:p>
              </w:tc>
              <w:tc>
                <w:tcPr>
                  <w:tcW w:w="587" w:type="dxa"/>
                  <w:vMerge w:val="continue"/>
                  <w:tcBorders>
                    <w:left w:val="single" w:color="auto" w:sz="4" w:space="0"/>
                    <w:right w:val="single" w:color="auto" w:sz="4" w:space="0"/>
                  </w:tcBorders>
                  <w:shd w:val="clear" w:color="auto" w:fill="auto"/>
                  <w:vAlign w:val="center"/>
                </w:tcPr>
                <w:p w14:paraId="0ECC4087">
                  <w:pPr>
                    <w:pStyle w:val="61"/>
                    <w:autoSpaceDE w:val="0"/>
                    <w:autoSpaceDN w:val="0"/>
                    <w:adjustRightInd w:val="0"/>
                    <w:jc w:val="center"/>
                    <w:rPr>
                      <w:rFonts w:ascii="Times New Roman" w:hAnsi="Times New Roman"/>
                      <w:color w:val="auto"/>
                      <w:sz w:val="21"/>
                      <w:szCs w:val="21"/>
                      <w:highlight w:val="none"/>
                    </w:rPr>
                  </w:pPr>
                </w:p>
              </w:tc>
              <w:tc>
                <w:tcPr>
                  <w:tcW w:w="639" w:type="dxa"/>
                  <w:gridSpan w:val="2"/>
                  <w:tcBorders>
                    <w:top w:val="single" w:color="auto" w:sz="4" w:space="0"/>
                    <w:left w:val="single" w:color="auto" w:sz="4" w:space="0"/>
                    <w:right w:val="single" w:color="auto" w:sz="4" w:space="0"/>
                  </w:tcBorders>
                  <w:shd w:val="clear" w:color="auto" w:fill="auto"/>
                  <w:vAlign w:val="center"/>
                </w:tcPr>
                <w:p w14:paraId="5189D025">
                  <w:pPr>
                    <w:autoSpaceDE w:val="0"/>
                    <w:autoSpaceDN w:val="0"/>
                    <w:adjustRightInd w:val="0"/>
                    <w:jc w:val="center"/>
                    <w:rPr>
                      <w:rFonts w:hint="eastAsia" w:ascii="Times New Roman" w:hAnsi="Times New Roman" w:eastAsia="宋体" w:cs="Times New Roman"/>
                      <w:color w:val="auto"/>
                      <w:kern w:val="2"/>
                      <w:sz w:val="21"/>
                      <w:szCs w:val="21"/>
                      <w:highlight w:val="none"/>
                      <w:lang w:val="en-US" w:eastAsia="zh-CN" w:bidi="en-AU"/>
                    </w:rPr>
                  </w:pPr>
                  <w:r>
                    <w:rPr>
                      <w:rFonts w:hint="eastAsia"/>
                      <w:color w:val="auto"/>
                      <w:kern w:val="0"/>
                      <w:szCs w:val="21"/>
                      <w:highlight w:val="none"/>
                      <w:lang w:eastAsia="zh-CN"/>
                    </w:rPr>
                    <w:t>臭气浓度</w:t>
                  </w:r>
                </w:p>
              </w:tc>
              <w:tc>
                <w:tcPr>
                  <w:tcW w:w="854" w:type="dxa"/>
                  <w:vMerge w:val="continue"/>
                  <w:tcBorders>
                    <w:left w:val="single" w:color="auto" w:sz="4" w:space="0"/>
                    <w:right w:val="single" w:color="auto" w:sz="4" w:space="0"/>
                  </w:tcBorders>
                  <w:shd w:val="clear" w:color="auto" w:fill="auto"/>
                  <w:vAlign w:val="center"/>
                </w:tcPr>
                <w:p w14:paraId="4D73BB84">
                  <w:pPr>
                    <w:adjustRightInd w:val="0"/>
                    <w:snapToGrid w:val="0"/>
                    <w:jc w:val="center"/>
                    <w:rPr>
                      <w:rFonts w:hint="eastAsia" w:eastAsia="宋体"/>
                      <w:color w:val="auto"/>
                      <w:kern w:val="0"/>
                      <w:szCs w:val="21"/>
                      <w:highlight w:val="none"/>
                      <w:lang w:val="en-US" w:eastAsia="zh-CN" w:bidi="en-AU"/>
                    </w:rPr>
                  </w:pPr>
                </w:p>
              </w:tc>
              <w:tc>
                <w:tcPr>
                  <w:tcW w:w="3178" w:type="dxa"/>
                  <w:tcBorders>
                    <w:top w:val="single" w:color="auto" w:sz="4" w:space="0"/>
                    <w:left w:val="single" w:color="auto" w:sz="4" w:space="0"/>
                    <w:right w:val="single" w:color="auto" w:sz="4" w:space="0"/>
                  </w:tcBorders>
                  <w:shd w:val="clear" w:color="auto" w:fill="auto"/>
                  <w:vAlign w:val="center"/>
                </w:tcPr>
                <w:p w14:paraId="4786F2D3">
                  <w:pPr>
                    <w:pStyle w:val="105"/>
                    <w:keepNext w:val="0"/>
                    <w:keepLines w:val="0"/>
                    <w:suppressLineNumbers w:val="0"/>
                    <w:spacing w:before="0" w:beforeAutospacing="0" w:after="0" w:afterAutospacing="0"/>
                    <w:ind w:left="0" w:leftChars="0" w:right="0" w:rightChars="0"/>
                    <w:jc w:val="center"/>
                    <w:rPr>
                      <w:rFonts w:ascii="Times New Roman" w:hAnsi="Times New Roman" w:eastAsia="宋体" w:cs="Times New Roman"/>
                      <w:bCs/>
                      <w:color w:val="auto"/>
                      <w:kern w:val="2"/>
                      <w:sz w:val="21"/>
                      <w:szCs w:val="21"/>
                      <w:highlight w:val="none"/>
                      <w:lang w:val="zh-CN" w:eastAsia="zh-CN" w:bidi="ar-SA"/>
                    </w:rPr>
                  </w:pPr>
                  <w:r>
                    <w:rPr>
                      <w:rFonts w:hint="default" w:ascii="Times New Roman" w:hAnsi="Times New Roman" w:eastAsia="宋体" w:cs="Times New Roman"/>
                      <w:color w:val="auto"/>
                      <w:sz w:val="21"/>
                      <w:szCs w:val="21"/>
                      <w:highlight w:val="none"/>
                      <w:lang w:val="en-US"/>
                    </w:rPr>
                    <w:t>《恶臭污染物排放标准》（GB14554-93）中表1无组织排放标准</w:t>
                  </w:r>
                </w:p>
              </w:tc>
              <w:tc>
                <w:tcPr>
                  <w:tcW w:w="1377" w:type="dxa"/>
                  <w:tcBorders>
                    <w:top w:val="single" w:color="auto" w:sz="4" w:space="0"/>
                    <w:left w:val="single" w:color="auto" w:sz="4" w:space="0"/>
                    <w:right w:val="single" w:color="auto" w:sz="4" w:space="0"/>
                  </w:tcBorders>
                  <w:shd w:val="clear" w:color="auto" w:fill="auto"/>
                  <w:vAlign w:val="center"/>
                </w:tcPr>
                <w:p w14:paraId="71A6CA06">
                  <w:pPr>
                    <w:adjustRightInd w:val="0"/>
                    <w:snapToGrid w:val="0"/>
                    <w:jc w:val="center"/>
                    <w:rPr>
                      <w:rFonts w:hint="eastAsia" w:ascii="Times New Roman" w:hAnsi="Times New Roman" w:eastAsia="宋体" w:cs="Times New Roman"/>
                      <w:color w:val="auto"/>
                      <w:kern w:val="0"/>
                      <w:sz w:val="21"/>
                      <w:szCs w:val="21"/>
                      <w:highlight w:val="none"/>
                      <w:lang w:val="en-US" w:eastAsia="zh-CN" w:bidi="en-AU"/>
                    </w:rPr>
                  </w:pPr>
                  <w:r>
                    <w:rPr>
                      <w:rFonts w:hint="eastAsia"/>
                      <w:color w:val="auto"/>
                      <w:kern w:val="0"/>
                      <w:szCs w:val="21"/>
                      <w:highlight w:val="none"/>
                      <w:lang w:val="en-US" w:eastAsia="zh-CN"/>
                    </w:rPr>
                    <w:t>20（无量纲）</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5D61A02A">
                  <w:pPr>
                    <w:adjustRightInd w:val="0"/>
                    <w:snapToGrid w:val="0"/>
                    <w:jc w:val="center"/>
                    <w:rPr>
                      <w:rFonts w:hint="default" w:eastAsia="等线"/>
                      <w:color w:val="auto"/>
                      <w:kern w:val="0"/>
                      <w:szCs w:val="21"/>
                      <w:highlight w:val="none"/>
                      <w:lang w:val="en-US" w:eastAsia="zh-CN" w:bidi="en-AU"/>
                    </w:rPr>
                  </w:pPr>
                  <w:r>
                    <w:rPr>
                      <w:rFonts w:hint="eastAsia"/>
                      <w:color w:val="auto"/>
                      <w:kern w:val="0"/>
                      <w:szCs w:val="21"/>
                      <w:highlight w:val="none"/>
                      <w:lang w:val="en-US" w:eastAsia="zh-CN"/>
                    </w:rPr>
                    <w:t>少量</w:t>
                  </w:r>
                </w:p>
              </w:tc>
            </w:tr>
            <w:tr w14:paraId="695C2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42"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5C015880">
                  <w:pPr>
                    <w:adjustRightInd w:val="0"/>
                    <w:snapToGrid w:val="0"/>
                    <w:jc w:val="center"/>
                    <w:rPr>
                      <w:bCs/>
                      <w:color w:val="auto"/>
                      <w:szCs w:val="21"/>
                      <w:highlight w:val="none"/>
                    </w:rPr>
                  </w:pPr>
                  <w:r>
                    <w:rPr>
                      <w:bCs/>
                      <w:color w:val="auto"/>
                      <w:szCs w:val="21"/>
                      <w:highlight w:val="none"/>
                      <w:lang w:bidi="en-AU"/>
                    </w:rPr>
                    <w:t>无组织排放总计</w:t>
                  </w:r>
                </w:p>
              </w:tc>
            </w:tr>
            <w:tr w14:paraId="770B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28" w:type="dxa"/>
                  <w:gridSpan w:val="4"/>
                  <w:vMerge w:val="restart"/>
                  <w:tcBorders>
                    <w:top w:val="single" w:color="auto" w:sz="4" w:space="0"/>
                    <w:left w:val="single" w:color="auto" w:sz="4" w:space="0"/>
                    <w:right w:val="single" w:color="auto" w:sz="4" w:space="0"/>
                  </w:tcBorders>
                  <w:shd w:val="clear" w:color="auto" w:fill="auto"/>
                  <w:vAlign w:val="center"/>
                </w:tcPr>
                <w:p w14:paraId="4B12EF4B">
                  <w:pPr>
                    <w:adjustRightInd w:val="0"/>
                    <w:snapToGrid w:val="0"/>
                    <w:jc w:val="center"/>
                    <w:rPr>
                      <w:color w:val="auto"/>
                      <w:kern w:val="0"/>
                      <w:szCs w:val="21"/>
                      <w:highlight w:val="none"/>
                    </w:rPr>
                  </w:pPr>
                  <w:r>
                    <w:rPr>
                      <w:color w:val="auto"/>
                      <w:kern w:val="0"/>
                      <w:szCs w:val="21"/>
                      <w:highlight w:val="none"/>
                      <w:lang w:bidi="en-AU"/>
                    </w:rPr>
                    <w:t>无组织排放总计</w:t>
                  </w:r>
                </w:p>
              </w:tc>
              <w:tc>
                <w:tcPr>
                  <w:tcW w:w="5728"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0E1C20FB">
                  <w:pPr>
                    <w:adjustRightInd w:val="0"/>
                    <w:snapToGrid w:val="0"/>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Cs w:val="21"/>
                      <w:highlight w:val="none"/>
                      <w:lang w:val="en-US" w:eastAsia="zh-CN"/>
                    </w:rPr>
                    <w:t>非甲烷总烃</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7359C617">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eastAsia="等线"/>
                      <w:color w:val="auto"/>
                      <w:kern w:val="0"/>
                      <w:szCs w:val="21"/>
                      <w:highlight w:val="none"/>
                      <w:lang w:val="en-US" w:eastAsia="zh-CN" w:bidi="en-AU"/>
                    </w:rPr>
                    <w:t>0.0717</w:t>
                  </w:r>
                </w:p>
              </w:tc>
            </w:tr>
            <w:tr w14:paraId="348C2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2028" w:type="dxa"/>
                  <w:gridSpan w:val="4"/>
                  <w:vMerge w:val="continue"/>
                  <w:tcBorders>
                    <w:left w:val="single" w:color="auto" w:sz="4" w:space="0"/>
                    <w:right w:val="single" w:color="auto" w:sz="4" w:space="0"/>
                  </w:tcBorders>
                  <w:shd w:val="clear" w:color="auto" w:fill="auto"/>
                  <w:vAlign w:val="center"/>
                </w:tcPr>
                <w:p w14:paraId="0E9136B4">
                  <w:pPr>
                    <w:adjustRightInd w:val="0"/>
                    <w:snapToGrid w:val="0"/>
                    <w:jc w:val="center"/>
                    <w:rPr>
                      <w:color w:val="auto"/>
                      <w:kern w:val="0"/>
                      <w:szCs w:val="21"/>
                      <w:highlight w:val="none"/>
                      <w:lang w:bidi="en-AU"/>
                    </w:rPr>
                  </w:pPr>
                </w:p>
              </w:tc>
              <w:tc>
                <w:tcPr>
                  <w:tcW w:w="5728"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4295F84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颗粒物</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008B912C">
                  <w:pPr>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bidi="ar-SA"/>
                    </w:rPr>
                    <w:t>0.005</w:t>
                  </w:r>
                </w:p>
              </w:tc>
            </w:tr>
            <w:tr w14:paraId="2F08C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28" w:type="dxa"/>
                  <w:gridSpan w:val="4"/>
                  <w:vMerge w:val="continue"/>
                  <w:tcBorders>
                    <w:left w:val="single" w:color="auto" w:sz="4" w:space="0"/>
                    <w:right w:val="single" w:color="auto" w:sz="4" w:space="0"/>
                  </w:tcBorders>
                  <w:shd w:val="clear" w:color="auto" w:fill="auto"/>
                  <w:vAlign w:val="center"/>
                </w:tcPr>
                <w:p w14:paraId="78E962AE">
                  <w:pPr>
                    <w:adjustRightInd w:val="0"/>
                    <w:snapToGrid w:val="0"/>
                    <w:jc w:val="center"/>
                    <w:rPr>
                      <w:color w:val="auto"/>
                      <w:kern w:val="0"/>
                      <w:szCs w:val="21"/>
                      <w:highlight w:val="none"/>
                      <w:lang w:bidi="en-AU"/>
                    </w:rPr>
                  </w:pPr>
                </w:p>
              </w:tc>
              <w:tc>
                <w:tcPr>
                  <w:tcW w:w="5728"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5A9A6FFC">
                  <w:pPr>
                    <w:adjustRightInd w:val="0"/>
                    <w:snapToGrid w:val="0"/>
                    <w:jc w:val="center"/>
                    <w:rPr>
                      <w:rFonts w:hint="eastAsia" w:ascii="Times New Roman" w:hAnsi="Times New Roman" w:eastAsia="宋体" w:cs="Times New Roman"/>
                      <w:color w:val="auto"/>
                      <w:kern w:val="0"/>
                      <w:sz w:val="21"/>
                      <w:szCs w:val="21"/>
                      <w:highlight w:val="none"/>
                      <w:lang w:val="en-US" w:eastAsia="zh-CN" w:bidi="en-AU"/>
                    </w:rPr>
                  </w:pPr>
                  <w:r>
                    <w:rPr>
                      <w:rFonts w:hint="eastAsia" w:ascii="Times New Roman" w:hAnsi="Times New Roman" w:eastAsia="宋体" w:cs="Times New Roman"/>
                      <w:color w:val="auto"/>
                      <w:kern w:val="0"/>
                      <w:szCs w:val="21"/>
                      <w:highlight w:val="none"/>
                      <w:lang w:val="en-US" w:eastAsia="zh-CN"/>
                    </w:rPr>
                    <w:t>臭气浓度</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6D32691F">
                  <w:pPr>
                    <w:adjustRightInd w:val="0"/>
                    <w:snapToGrid w:val="0"/>
                    <w:jc w:val="center"/>
                    <w:rPr>
                      <w:rFonts w:hint="default" w:eastAsia="等线"/>
                      <w:color w:val="auto"/>
                      <w:kern w:val="0"/>
                      <w:szCs w:val="21"/>
                      <w:highlight w:val="none"/>
                      <w:lang w:val="en-US" w:eastAsia="zh-CN" w:bidi="en-AU"/>
                    </w:rPr>
                  </w:pPr>
                  <w:r>
                    <w:rPr>
                      <w:rFonts w:hint="eastAsia"/>
                      <w:color w:val="auto"/>
                      <w:kern w:val="0"/>
                      <w:szCs w:val="21"/>
                      <w:highlight w:val="none"/>
                      <w:lang w:val="en-US" w:eastAsia="zh-CN"/>
                    </w:rPr>
                    <w:t>少量</w:t>
                  </w:r>
                </w:p>
              </w:tc>
            </w:tr>
          </w:tbl>
          <w:p w14:paraId="59627FD9">
            <w:pPr>
              <w:pStyle w:val="95"/>
              <w:spacing w:before="120"/>
              <w:ind w:left="0"/>
              <w:rPr>
                <w:b/>
                <w:color w:val="auto"/>
                <w:kern w:val="2"/>
                <w:highlight w:val="none"/>
              </w:rPr>
            </w:pPr>
            <w:r>
              <w:rPr>
                <w:b/>
                <w:color w:val="auto"/>
                <w:kern w:val="2"/>
                <w:highlight w:val="none"/>
              </w:rPr>
              <w:t>大气污染物年排放量核算表</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757"/>
              <w:gridCol w:w="2342"/>
              <w:gridCol w:w="4738"/>
            </w:tblGrid>
            <w:tr w14:paraId="48B2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pct"/>
                  <w:shd w:val="clear" w:color="auto" w:fill="auto"/>
                  <w:vAlign w:val="center"/>
                </w:tcPr>
                <w:p w14:paraId="3F8B6727">
                  <w:pPr>
                    <w:widowControl/>
                    <w:adjustRightInd w:val="0"/>
                    <w:snapToGrid w:val="0"/>
                    <w:jc w:val="center"/>
                    <w:rPr>
                      <w:b/>
                      <w:color w:val="auto"/>
                      <w:szCs w:val="21"/>
                      <w:highlight w:val="none"/>
                    </w:rPr>
                  </w:pPr>
                  <w:r>
                    <w:rPr>
                      <w:b/>
                      <w:color w:val="auto"/>
                      <w:szCs w:val="21"/>
                      <w:highlight w:val="none"/>
                      <w:lang w:val="zh-CN"/>
                    </w:rPr>
                    <w:t>序号</w:t>
                  </w:r>
                </w:p>
              </w:tc>
              <w:tc>
                <w:tcPr>
                  <w:tcW w:w="1325" w:type="pct"/>
                  <w:shd w:val="clear" w:color="auto" w:fill="auto"/>
                  <w:vAlign w:val="center"/>
                </w:tcPr>
                <w:p w14:paraId="18B243E2">
                  <w:pPr>
                    <w:widowControl/>
                    <w:adjustRightInd w:val="0"/>
                    <w:snapToGrid w:val="0"/>
                    <w:jc w:val="center"/>
                    <w:rPr>
                      <w:b/>
                      <w:color w:val="auto"/>
                      <w:szCs w:val="21"/>
                      <w:highlight w:val="none"/>
                    </w:rPr>
                  </w:pPr>
                  <w:r>
                    <w:rPr>
                      <w:b/>
                      <w:color w:val="auto"/>
                      <w:szCs w:val="21"/>
                      <w:highlight w:val="none"/>
                      <w:lang w:val="zh-CN"/>
                    </w:rPr>
                    <w:t>污染物</w:t>
                  </w:r>
                </w:p>
              </w:tc>
              <w:tc>
                <w:tcPr>
                  <w:tcW w:w="2680" w:type="pct"/>
                  <w:shd w:val="clear" w:color="auto" w:fill="auto"/>
                  <w:vAlign w:val="center"/>
                </w:tcPr>
                <w:p w14:paraId="7AAA569C">
                  <w:pPr>
                    <w:widowControl/>
                    <w:adjustRightInd w:val="0"/>
                    <w:snapToGrid w:val="0"/>
                    <w:jc w:val="center"/>
                    <w:rPr>
                      <w:b/>
                      <w:color w:val="auto"/>
                      <w:szCs w:val="21"/>
                      <w:highlight w:val="none"/>
                    </w:rPr>
                  </w:pPr>
                  <w:r>
                    <w:rPr>
                      <w:b/>
                      <w:color w:val="auto"/>
                      <w:szCs w:val="21"/>
                      <w:highlight w:val="none"/>
                      <w:lang w:val="zh-CN"/>
                    </w:rPr>
                    <w:t>年排放量</w:t>
                  </w:r>
                  <w:r>
                    <w:rPr>
                      <w:b/>
                      <w:color w:val="auto"/>
                      <w:szCs w:val="21"/>
                      <w:highlight w:val="none"/>
                    </w:rPr>
                    <w:t>（t/a）</w:t>
                  </w:r>
                </w:p>
              </w:tc>
            </w:tr>
            <w:tr w14:paraId="3A769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pct"/>
                  <w:shd w:val="clear" w:color="auto" w:fill="auto"/>
                  <w:vAlign w:val="center"/>
                </w:tcPr>
                <w:p w14:paraId="697C0275">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rPr>
                    <w:t>1</w:t>
                  </w:r>
                </w:p>
              </w:tc>
              <w:tc>
                <w:tcPr>
                  <w:tcW w:w="1325" w:type="pct"/>
                  <w:shd w:val="clear" w:color="auto" w:fill="auto"/>
                  <w:vAlign w:val="center"/>
                </w:tcPr>
                <w:p w14:paraId="0BF123BC">
                  <w:pPr>
                    <w:widowControl/>
                    <w:adjustRightInd w:val="0"/>
                    <w:snapToGrid w:val="0"/>
                    <w:jc w:val="center"/>
                    <w:rPr>
                      <w:rFonts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bidi="en-AU"/>
                    </w:rPr>
                    <w:t>非甲烷总烃</w:t>
                  </w:r>
                </w:p>
              </w:tc>
              <w:tc>
                <w:tcPr>
                  <w:tcW w:w="2680" w:type="pct"/>
                  <w:shd w:val="clear" w:color="auto" w:fill="auto"/>
                  <w:vAlign w:val="center"/>
                </w:tcPr>
                <w:p w14:paraId="2BFAE423">
                  <w:pPr>
                    <w:widowControl/>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0.0789</w:t>
                  </w:r>
                </w:p>
              </w:tc>
            </w:tr>
            <w:tr w14:paraId="54CE0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994" w:type="pct"/>
                  <w:shd w:val="clear" w:color="auto" w:fill="auto"/>
                  <w:vAlign w:val="center"/>
                </w:tcPr>
                <w:p w14:paraId="26472F58">
                  <w:pPr>
                    <w:widowControl/>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1325" w:type="pct"/>
                  <w:shd w:val="clear" w:color="auto" w:fill="auto"/>
                  <w:vAlign w:val="center"/>
                </w:tcPr>
                <w:p w14:paraId="3ADFF35B">
                  <w:pPr>
                    <w:widowControl/>
                    <w:adjustRightInd w:val="0"/>
                    <w:snapToGrid w:val="0"/>
                    <w:jc w:val="center"/>
                    <w:rPr>
                      <w:rFonts w:hint="eastAsia" w:eastAsia="宋体"/>
                      <w:color w:val="auto"/>
                      <w:kern w:val="0"/>
                      <w:szCs w:val="21"/>
                      <w:highlight w:val="none"/>
                      <w:lang w:val="en-US" w:eastAsia="zh-CN" w:bidi="en-AU"/>
                    </w:rPr>
                  </w:pPr>
                  <w:r>
                    <w:rPr>
                      <w:rFonts w:hint="eastAsia"/>
                      <w:color w:val="auto"/>
                      <w:kern w:val="0"/>
                      <w:szCs w:val="21"/>
                      <w:highlight w:val="none"/>
                      <w:lang w:val="en-US" w:eastAsia="zh-CN" w:bidi="en-AU"/>
                    </w:rPr>
                    <w:t>颗粒物</w:t>
                  </w:r>
                </w:p>
              </w:tc>
              <w:tc>
                <w:tcPr>
                  <w:tcW w:w="2680" w:type="pct"/>
                  <w:shd w:val="clear" w:color="auto" w:fill="auto"/>
                  <w:vAlign w:val="center"/>
                </w:tcPr>
                <w:p w14:paraId="2F28BD8E">
                  <w:pPr>
                    <w:widowControl/>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0.005</w:t>
                  </w:r>
                </w:p>
              </w:tc>
            </w:tr>
            <w:tr w14:paraId="15CE6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4" w:type="pct"/>
                  <w:shd w:val="clear" w:color="auto" w:fill="auto"/>
                  <w:vAlign w:val="center"/>
                </w:tcPr>
                <w:p w14:paraId="4BC0CA6B">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w:t>
                  </w:r>
                </w:p>
              </w:tc>
              <w:tc>
                <w:tcPr>
                  <w:tcW w:w="1325" w:type="pct"/>
                  <w:shd w:val="clear" w:color="auto" w:fill="auto"/>
                  <w:vAlign w:val="center"/>
                </w:tcPr>
                <w:p w14:paraId="61DE1442">
                  <w:pPr>
                    <w:autoSpaceDE w:val="0"/>
                    <w:autoSpaceDN w:val="0"/>
                    <w:adjustRightInd w:val="0"/>
                    <w:jc w:val="center"/>
                    <w:rPr>
                      <w:rFonts w:hint="eastAsia" w:ascii="Times New Roman" w:hAnsi="Times New Roman" w:eastAsia="宋体" w:cs="Times New Roman"/>
                      <w:color w:val="auto"/>
                      <w:kern w:val="0"/>
                      <w:sz w:val="21"/>
                      <w:szCs w:val="21"/>
                      <w:highlight w:val="none"/>
                      <w:lang w:val="en-US" w:eastAsia="zh-CN" w:bidi="en-AU"/>
                    </w:rPr>
                  </w:pPr>
                  <w:r>
                    <w:rPr>
                      <w:rFonts w:hint="eastAsia"/>
                      <w:color w:val="auto"/>
                      <w:szCs w:val="21"/>
                      <w:highlight w:val="none"/>
                      <w:lang w:val="en-US" w:eastAsia="zh-CN" w:bidi="en-AU"/>
                    </w:rPr>
                    <w:t>臭气浓度</w:t>
                  </w:r>
                </w:p>
              </w:tc>
              <w:tc>
                <w:tcPr>
                  <w:tcW w:w="2680" w:type="pct"/>
                  <w:shd w:val="clear" w:color="auto" w:fill="auto"/>
                  <w:vAlign w:val="center"/>
                </w:tcPr>
                <w:p w14:paraId="1A91C055">
                  <w:pPr>
                    <w:adjustRightInd w:val="0"/>
                    <w:snapToGrid w:val="0"/>
                    <w:jc w:val="center"/>
                    <w:rPr>
                      <w:rFonts w:hint="default" w:ascii="Times New Roman" w:hAnsi="Times New Roman" w:eastAsia="等线" w:cs="Times New Roman"/>
                      <w:color w:val="auto"/>
                      <w:kern w:val="0"/>
                      <w:sz w:val="21"/>
                      <w:szCs w:val="21"/>
                      <w:highlight w:val="none"/>
                      <w:lang w:val="en-US" w:eastAsia="zh-CN" w:bidi="en-AU"/>
                    </w:rPr>
                  </w:pPr>
                  <w:r>
                    <w:rPr>
                      <w:rFonts w:hint="eastAsia"/>
                      <w:color w:val="auto"/>
                      <w:kern w:val="0"/>
                      <w:szCs w:val="21"/>
                      <w:highlight w:val="none"/>
                      <w:lang w:val="en-US" w:eastAsia="zh-CN"/>
                    </w:rPr>
                    <w:t>少量</w:t>
                  </w:r>
                </w:p>
              </w:tc>
            </w:tr>
          </w:tbl>
          <w:p w14:paraId="79CA4657">
            <w:pPr>
              <w:pStyle w:val="95"/>
              <w:spacing w:before="120"/>
              <w:ind w:left="0"/>
              <w:rPr>
                <w:b/>
                <w:color w:val="auto"/>
                <w:kern w:val="2"/>
                <w:highlight w:val="none"/>
              </w:rPr>
            </w:pPr>
            <w:r>
              <w:rPr>
                <w:b/>
                <w:color w:val="auto"/>
                <w:kern w:val="2"/>
                <w:highlight w:val="none"/>
              </w:rPr>
              <w:t>项目排气筒一览表</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72"/>
              <w:gridCol w:w="803"/>
              <w:gridCol w:w="1850"/>
              <w:gridCol w:w="805"/>
              <w:gridCol w:w="780"/>
              <w:gridCol w:w="1081"/>
              <w:gridCol w:w="545"/>
              <w:gridCol w:w="795"/>
              <w:gridCol w:w="532"/>
              <w:gridCol w:w="632"/>
              <w:gridCol w:w="542"/>
            </w:tblGrid>
            <w:tr w14:paraId="37BE8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267" w:type="pct"/>
                  <w:vMerge w:val="restart"/>
                  <w:shd w:val="clear" w:color="auto" w:fill="auto"/>
                  <w:vAlign w:val="center"/>
                </w:tcPr>
                <w:p w14:paraId="376DEDD1">
                  <w:pPr>
                    <w:jc w:val="center"/>
                    <w:rPr>
                      <w:b/>
                      <w:color w:val="auto"/>
                      <w:szCs w:val="21"/>
                      <w:highlight w:val="none"/>
                    </w:rPr>
                  </w:pPr>
                  <w:r>
                    <w:rPr>
                      <w:b/>
                      <w:color w:val="auto"/>
                      <w:szCs w:val="21"/>
                      <w:highlight w:val="none"/>
                    </w:rPr>
                    <w:t>排放口编号</w:t>
                  </w:r>
                </w:p>
              </w:tc>
              <w:tc>
                <w:tcPr>
                  <w:tcW w:w="454" w:type="pct"/>
                  <w:vMerge w:val="restart"/>
                  <w:shd w:val="clear" w:color="auto" w:fill="auto"/>
                  <w:vAlign w:val="center"/>
                </w:tcPr>
                <w:p w14:paraId="1DFC539E">
                  <w:pPr>
                    <w:jc w:val="center"/>
                    <w:rPr>
                      <w:b/>
                      <w:color w:val="auto"/>
                      <w:szCs w:val="21"/>
                      <w:highlight w:val="none"/>
                    </w:rPr>
                  </w:pPr>
                  <w:r>
                    <w:rPr>
                      <w:b/>
                      <w:color w:val="auto"/>
                      <w:szCs w:val="21"/>
                      <w:highlight w:val="none"/>
                    </w:rPr>
                    <w:t>废气类型</w:t>
                  </w:r>
                </w:p>
              </w:tc>
              <w:tc>
                <w:tcPr>
                  <w:tcW w:w="1046" w:type="pct"/>
                  <w:vMerge w:val="restart"/>
                  <w:shd w:val="clear" w:color="auto" w:fill="auto"/>
                  <w:vAlign w:val="center"/>
                </w:tcPr>
                <w:p w14:paraId="2B89A611">
                  <w:pPr>
                    <w:jc w:val="center"/>
                    <w:rPr>
                      <w:b/>
                      <w:color w:val="auto"/>
                      <w:szCs w:val="21"/>
                      <w:highlight w:val="none"/>
                    </w:rPr>
                  </w:pPr>
                  <w:r>
                    <w:rPr>
                      <w:b/>
                      <w:color w:val="auto"/>
                      <w:szCs w:val="21"/>
                      <w:highlight w:val="none"/>
                    </w:rPr>
                    <w:t>污染物种类</w:t>
                  </w:r>
                </w:p>
              </w:tc>
              <w:tc>
                <w:tcPr>
                  <w:tcW w:w="896" w:type="pct"/>
                  <w:gridSpan w:val="2"/>
                  <w:shd w:val="clear" w:color="auto" w:fill="auto"/>
                  <w:vAlign w:val="center"/>
                </w:tcPr>
                <w:p w14:paraId="597F7525">
                  <w:pPr>
                    <w:jc w:val="center"/>
                    <w:rPr>
                      <w:b/>
                      <w:color w:val="auto"/>
                      <w:szCs w:val="21"/>
                      <w:highlight w:val="none"/>
                    </w:rPr>
                  </w:pPr>
                  <w:r>
                    <w:rPr>
                      <w:b/>
                      <w:color w:val="auto"/>
                      <w:szCs w:val="21"/>
                      <w:highlight w:val="none"/>
                    </w:rPr>
                    <w:t>排放口地理坐标</w:t>
                  </w:r>
                </w:p>
              </w:tc>
              <w:tc>
                <w:tcPr>
                  <w:tcW w:w="611" w:type="pct"/>
                  <w:vMerge w:val="restart"/>
                  <w:shd w:val="clear" w:color="auto" w:fill="auto"/>
                  <w:vAlign w:val="center"/>
                </w:tcPr>
                <w:p w14:paraId="72646E51">
                  <w:pPr>
                    <w:jc w:val="center"/>
                    <w:rPr>
                      <w:b/>
                      <w:color w:val="auto"/>
                      <w:szCs w:val="21"/>
                      <w:highlight w:val="none"/>
                    </w:rPr>
                  </w:pPr>
                  <w:r>
                    <w:rPr>
                      <w:b/>
                      <w:color w:val="auto"/>
                      <w:szCs w:val="21"/>
                      <w:highlight w:val="none"/>
                    </w:rPr>
                    <w:t>治理措施</w:t>
                  </w:r>
                </w:p>
              </w:tc>
              <w:tc>
                <w:tcPr>
                  <w:tcW w:w="308" w:type="pct"/>
                  <w:vMerge w:val="restart"/>
                  <w:shd w:val="clear" w:color="auto" w:fill="auto"/>
                  <w:vAlign w:val="center"/>
                </w:tcPr>
                <w:p w14:paraId="31452196">
                  <w:pPr>
                    <w:jc w:val="center"/>
                    <w:rPr>
                      <w:b/>
                      <w:color w:val="auto"/>
                      <w:szCs w:val="21"/>
                      <w:highlight w:val="none"/>
                    </w:rPr>
                  </w:pPr>
                  <w:r>
                    <w:rPr>
                      <w:b/>
                      <w:color w:val="auto"/>
                      <w:szCs w:val="21"/>
                      <w:highlight w:val="none"/>
                    </w:rPr>
                    <w:t>是否为可行技术</w:t>
                  </w:r>
                </w:p>
              </w:tc>
              <w:tc>
                <w:tcPr>
                  <w:tcW w:w="449" w:type="pct"/>
                  <w:vMerge w:val="restart"/>
                  <w:shd w:val="clear" w:color="auto" w:fill="auto"/>
                  <w:vAlign w:val="center"/>
                </w:tcPr>
                <w:p w14:paraId="677CE1FD">
                  <w:pPr>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排气量</w:t>
                  </w:r>
                  <w:r>
                    <w:rPr>
                      <w:rFonts w:hint="eastAsia" w:ascii="Times New Roman" w:hAnsi="Times New Roman" w:eastAsia="宋体" w:cs="Times New Roman"/>
                      <w:b/>
                      <w:color w:val="auto"/>
                      <w:szCs w:val="21"/>
                      <w:highlight w:val="none"/>
                      <w:lang w:eastAsia="zh-CN"/>
                    </w:rPr>
                    <w:t>（</w:t>
                  </w:r>
                  <w:r>
                    <w:rPr>
                      <w:rFonts w:ascii="Times New Roman" w:hAnsi="Times New Roman" w:eastAsia="宋体" w:cs="Times New Roman"/>
                      <w:b/>
                      <w:color w:val="auto"/>
                      <w:szCs w:val="21"/>
                      <w:highlight w:val="none"/>
                    </w:rPr>
                    <w:t>m</w:t>
                  </w:r>
                  <w:r>
                    <w:rPr>
                      <w:rFonts w:ascii="Times New Roman" w:hAnsi="Times New Roman" w:eastAsia="宋体" w:cs="Times New Roman"/>
                      <w:b/>
                      <w:color w:val="auto"/>
                      <w:szCs w:val="21"/>
                      <w:highlight w:val="none"/>
                      <w:vertAlign w:val="superscript"/>
                    </w:rPr>
                    <w:t>3</w:t>
                  </w:r>
                  <w:r>
                    <w:rPr>
                      <w:rFonts w:ascii="Times New Roman" w:hAnsi="Times New Roman" w:eastAsia="宋体" w:cs="Times New Roman"/>
                      <w:b/>
                      <w:color w:val="auto"/>
                      <w:szCs w:val="21"/>
                      <w:highlight w:val="none"/>
                    </w:rPr>
                    <w:t>/h</w:t>
                  </w:r>
                  <w:r>
                    <w:rPr>
                      <w:rFonts w:hint="eastAsia" w:ascii="Times New Roman" w:hAnsi="Times New Roman" w:eastAsia="宋体" w:cs="Times New Roman"/>
                      <w:b/>
                      <w:color w:val="auto"/>
                      <w:szCs w:val="21"/>
                      <w:highlight w:val="none"/>
                      <w:lang w:eastAsia="zh-CN"/>
                    </w:rPr>
                    <w:t>）</w:t>
                  </w:r>
                </w:p>
              </w:tc>
              <w:tc>
                <w:tcPr>
                  <w:tcW w:w="301" w:type="pct"/>
                  <w:vMerge w:val="restart"/>
                  <w:shd w:val="clear" w:color="auto" w:fill="auto"/>
                  <w:vAlign w:val="center"/>
                </w:tcPr>
                <w:p w14:paraId="072C2C84">
                  <w:pPr>
                    <w:jc w:val="center"/>
                    <w:rPr>
                      <w:b/>
                      <w:color w:val="auto"/>
                      <w:szCs w:val="21"/>
                      <w:highlight w:val="none"/>
                    </w:rPr>
                  </w:pPr>
                  <w:r>
                    <w:rPr>
                      <w:b/>
                      <w:color w:val="auto"/>
                      <w:szCs w:val="21"/>
                      <w:highlight w:val="none"/>
                    </w:rPr>
                    <w:t>排气筒高度</w:t>
                  </w:r>
                </w:p>
              </w:tc>
              <w:tc>
                <w:tcPr>
                  <w:tcW w:w="357" w:type="pct"/>
                  <w:vMerge w:val="restart"/>
                  <w:shd w:val="clear" w:color="auto" w:fill="auto"/>
                  <w:vAlign w:val="center"/>
                </w:tcPr>
                <w:p w14:paraId="24A58166">
                  <w:pPr>
                    <w:jc w:val="center"/>
                    <w:rPr>
                      <w:b/>
                      <w:color w:val="auto"/>
                      <w:szCs w:val="21"/>
                      <w:highlight w:val="none"/>
                    </w:rPr>
                  </w:pPr>
                  <w:r>
                    <w:rPr>
                      <w:b/>
                      <w:color w:val="auto"/>
                      <w:szCs w:val="21"/>
                      <w:highlight w:val="none"/>
                    </w:rPr>
                    <w:t>排气筒出口内径</w:t>
                  </w:r>
                </w:p>
              </w:tc>
              <w:tc>
                <w:tcPr>
                  <w:tcW w:w="306" w:type="pct"/>
                  <w:vMerge w:val="restart"/>
                  <w:shd w:val="clear" w:color="auto" w:fill="auto"/>
                  <w:vAlign w:val="center"/>
                </w:tcPr>
                <w:p w14:paraId="72758770">
                  <w:pPr>
                    <w:jc w:val="center"/>
                    <w:rPr>
                      <w:b/>
                      <w:color w:val="auto"/>
                      <w:szCs w:val="21"/>
                      <w:highlight w:val="none"/>
                    </w:rPr>
                  </w:pPr>
                  <w:r>
                    <w:rPr>
                      <w:b/>
                      <w:color w:val="auto"/>
                      <w:szCs w:val="21"/>
                      <w:highlight w:val="none"/>
                    </w:rPr>
                    <w:t>排气温度</w:t>
                  </w:r>
                </w:p>
              </w:tc>
            </w:tr>
            <w:tr w14:paraId="2EC35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7" w:type="pct"/>
                  <w:vMerge w:val="continue"/>
                  <w:shd w:val="clear" w:color="auto" w:fill="auto"/>
                  <w:vAlign w:val="center"/>
                </w:tcPr>
                <w:p w14:paraId="760B786A">
                  <w:pPr>
                    <w:jc w:val="center"/>
                    <w:rPr>
                      <w:b/>
                      <w:color w:val="auto"/>
                      <w:szCs w:val="21"/>
                      <w:highlight w:val="none"/>
                    </w:rPr>
                  </w:pPr>
                </w:p>
              </w:tc>
              <w:tc>
                <w:tcPr>
                  <w:tcW w:w="454" w:type="pct"/>
                  <w:vMerge w:val="continue"/>
                  <w:shd w:val="clear" w:color="auto" w:fill="auto"/>
                  <w:vAlign w:val="center"/>
                </w:tcPr>
                <w:p w14:paraId="0402E0C9">
                  <w:pPr>
                    <w:jc w:val="center"/>
                    <w:rPr>
                      <w:b/>
                      <w:color w:val="auto"/>
                      <w:szCs w:val="21"/>
                      <w:highlight w:val="none"/>
                    </w:rPr>
                  </w:pPr>
                </w:p>
              </w:tc>
              <w:tc>
                <w:tcPr>
                  <w:tcW w:w="1046" w:type="pct"/>
                  <w:vMerge w:val="continue"/>
                  <w:shd w:val="clear" w:color="auto" w:fill="auto"/>
                  <w:vAlign w:val="center"/>
                </w:tcPr>
                <w:p w14:paraId="7B8498F9">
                  <w:pPr>
                    <w:jc w:val="center"/>
                    <w:rPr>
                      <w:b/>
                      <w:color w:val="auto"/>
                      <w:szCs w:val="21"/>
                      <w:highlight w:val="none"/>
                    </w:rPr>
                  </w:pPr>
                </w:p>
              </w:tc>
              <w:tc>
                <w:tcPr>
                  <w:tcW w:w="455" w:type="pct"/>
                  <w:shd w:val="clear" w:color="auto" w:fill="auto"/>
                  <w:vAlign w:val="center"/>
                </w:tcPr>
                <w:p w14:paraId="2F5E9463">
                  <w:pPr>
                    <w:jc w:val="center"/>
                    <w:rPr>
                      <w:b/>
                      <w:color w:val="auto"/>
                      <w:szCs w:val="21"/>
                      <w:highlight w:val="none"/>
                    </w:rPr>
                  </w:pPr>
                  <w:r>
                    <w:rPr>
                      <w:b/>
                      <w:color w:val="auto"/>
                      <w:szCs w:val="21"/>
                      <w:highlight w:val="none"/>
                    </w:rPr>
                    <w:t>经度</w:t>
                  </w:r>
                </w:p>
              </w:tc>
              <w:tc>
                <w:tcPr>
                  <w:tcW w:w="441" w:type="pct"/>
                  <w:shd w:val="clear" w:color="auto" w:fill="auto"/>
                  <w:vAlign w:val="center"/>
                </w:tcPr>
                <w:p w14:paraId="7D0BE168">
                  <w:pPr>
                    <w:jc w:val="center"/>
                    <w:rPr>
                      <w:b/>
                      <w:color w:val="auto"/>
                      <w:szCs w:val="21"/>
                      <w:highlight w:val="none"/>
                    </w:rPr>
                  </w:pPr>
                  <w:r>
                    <w:rPr>
                      <w:b/>
                      <w:color w:val="auto"/>
                      <w:szCs w:val="21"/>
                      <w:highlight w:val="none"/>
                    </w:rPr>
                    <w:t>纬度</w:t>
                  </w:r>
                </w:p>
              </w:tc>
              <w:tc>
                <w:tcPr>
                  <w:tcW w:w="611" w:type="pct"/>
                  <w:vMerge w:val="continue"/>
                  <w:shd w:val="clear" w:color="auto" w:fill="auto"/>
                  <w:vAlign w:val="center"/>
                </w:tcPr>
                <w:p w14:paraId="1D1813EB">
                  <w:pPr>
                    <w:jc w:val="center"/>
                    <w:rPr>
                      <w:b/>
                      <w:color w:val="auto"/>
                      <w:szCs w:val="21"/>
                      <w:highlight w:val="none"/>
                    </w:rPr>
                  </w:pPr>
                </w:p>
              </w:tc>
              <w:tc>
                <w:tcPr>
                  <w:tcW w:w="308" w:type="pct"/>
                  <w:vMerge w:val="continue"/>
                  <w:shd w:val="clear" w:color="auto" w:fill="auto"/>
                  <w:vAlign w:val="center"/>
                </w:tcPr>
                <w:p w14:paraId="5CB8F5FB">
                  <w:pPr>
                    <w:jc w:val="center"/>
                    <w:rPr>
                      <w:b/>
                      <w:color w:val="auto"/>
                      <w:szCs w:val="21"/>
                      <w:highlight w:val="none"/>
                    </w:rPr>
                  </w:pPr>
                </w:p>
              </w:tc>
              <w:tc>
                <w:tcPr>
                  <w:tcW w:w="449" w:type="pct"/>
                  <w:vMerge w:val="continue"/>
                  <w:shd w:val="clear" w:color="auto" w:fill="auto"/>
                  <w:vAlign w:val="center"/>
                </w:tcPr>
                <w:p w14:paraId="24CBA45F">
                  <w:pPr>
                    <w:jc w:val="center"/>
                    <w:rPr>
                      <w:b/>
                      <w:color w:val="auto"/>
                      <w:szCs w:val="21"/>
                      <w:highlight w:val="none"/>
                    </w:rPr>
                  </w:pPr>
                </w:p>
              </w:tc>
              <w:tc>
                <w:tcPr>
                  <w:tcW w:w="301" w:type="pct"/>
                  <w:vMerge w:val="continue"/>
                  <w:shd w:val="clear" w:color="auto" w:fill="auto"/>
                  <w:vAlign w:val="center"/>
                </w:tcPr>
                <w:p w14:paraId="5416E749">
                  <w:pPr>
                    <w:jc w:val="center"/>
                    <w:rPr>
                      <w:b/>
                      <w:color w:val="auto"/>
                      <w:szCs w:val="21"/>
                      <w:highlight w:val="none"/>
                    </w:rPr>
                  </w:pPr>
                </w:p>
              </w:tc>
              <w:tc>
                <w:tcPr>
                  <w:tcW w:w="357" w:type="pct"/>
                  <w:vMerge w:val="continue"/>
                  <w:shd w:val="clear" w:color="auto" w:fill="auto"/>
                  <w:vAlign w:val="center"/>
                </w:tcPr>
                <w:p w14:paraId="645D8E05">
                  <w:pPr>
                    <w:jc w:val="center"/>
                    <w:rPr>
                      <w:b/>
                      <w:color w:val="auto"/>
                      <w:szCs w:val="21"/>
                      <w:highlight w:val="none"/>
                    </w:rPr>
                  </w:pPr>
                </w:p>
              </w:tc>
              <w:tc>
                <w:tcPr>
                  <w:tcW w:w="306" w:type="pct"/>
                  <w:vMerge w:val="continue"/>
                  <w:shd w:val="clear" w:color="auto" w:fill="auto"/>
                  <w:vAlign w:val="center"/>
                </w:tcPr>
                <w:p w14:paraId="18184B92">
                  <w:pPr>
                    <w:jc w:val="center"/>
                    <w:rPr>
                      <w:b/>
                      <w:color w:val="auto"/>
                      <w:szCs w:val="21"/>
                      <w:highlight w:val="none"/>
                    </w:rPr>
                  </w:pPr>
                </w:p>
              </w:tc>
            </w:tr>
            <w:tr w14:paraId="7DD8D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7" w:type="pct"/>
                  <w:shd w:val="clear" w:color="auto" w:fill="auto"/>
                  <w:vAlign w:val="center"/>
                </w:tcPr>
                <w:p w14:paraId="22D0792D">
                  <w:pPr>
                    <w:jc w:val="center"/>
                    <w:rPr>
                      <w:color w:val="auto"/>
                      <w:szCs w:val="21"/>
                      <w:highlight w:val="none"/>
                    </w:rPr>
                  </w:pPr>
                  <w:r>
                    <w:rPr>
                      <w:color w:val="auto"/>
                      <w:szCs w:val="21"/>
                      <w:highlight w:val="none"/>
                    </w:rPr>
                    <w:t>G1</w:t>
                  </w:r>
                </w:p>
              </w:tc>
              <w:tc>
                <w:tcPr>
                  <w:tcW w:w="454" w:type="pct"/>
                  <w:shd w:val="clear" w:color="auto" w:fill="auto"/>
                  <w:vAlign w:val="center"/>
                </w:tcPr>
                <w:p w14:paraId="7F0A4843">
                  <w:pPr>
                    <w:pStyle w:val="86"/>
                    <w:numPr>
                      <w:ilvl w:val="0"/>
                      <w:numId w:val="0"/>
                    </w:numPr>
                    <w:jc w:val="left"/>
                    <w:rPr>
                      <w:rFonts w:hint="eastAsia" w:eastAsia="宋体"/>
                      <w:b w:val="0"/>
                      <w:color w:val="auto"/>
                      <w:sz w:val="21"/>
                      <w:szCs w:val="21"/>
                      <w:highlight w:val="none"/>
                      <w:lang w:val="en-US" w:eastAsia="zh-CN"/>
                    </w:rPr>
                  </w:pPr>
                  <w:r>
                    <w:rPr>
                      <w:rFonts w:hint="eastAsia" w:eastAsia="宋体"/>
                      <w:b w:val="0"/>
                      <w:color w:val="auto"/>
                      <w:sz w:val="21"/>
                      <w:szCs w:val="21"/>
                      <w:highlight w:val="none"/>
                      <w:lang w:val="en-US" w:eastAsia="zh-CN"/>
                    </w:rPr>
                    <w:t>烘料、注塑工序废气</w:t>
                  </w:r>
                </w:p>
              </w:tc>
              <w:tc>
                <w:tcPr>
                  <w:tcW w:w="1046" w:type="pct"/>
                  <w:shd w:val="clear" w:color="auto" w:fill="auto"/>
                  <w:vAlign w:val="center"/>
                </w:tcPr>
                <w:p w14:paraId="2524E765">
                  <w:pPr>
                    <w:pStyle w:val="86"/>
                    <w:numPr>
                      <w:ilvl w:val="0"/>
                      <w:numId w:val="0"/>
                    </w:numPr>
                    <w:rPr>
                      <w:rFonts w:hint="default"/>
                      <w:b w:val="0"/>
                      <w:color w:val="auto"/>
                      <w:sz w:val="21"/>
                      <w:szCs w:val="21"/>
                      <w:highlight w:val="none"/>
                      <w:lang w:val="en-US"/>
                    </w:rPr>
                  </w:pPr>
                  <w:r>
                    <w:rPr>
                      <w:rFonts w:hint="eastAsia" w:ascii="Times New Roman" w:hAnsi="Times New Roman" w:eastAsia="宋体" w:cs="Times New Roman"/>
                      <w:b w:val="0"/>
                      <w:bCs/>
                      <w:color w:val="auto"/>
                      <w:sz w:val="21"/>
                      <w:szCs w:val="21"/>
                      <w:highlight w:val="none"/>
                      <w:lang w:val="en-US" w:eastAsia="zh-CN"/>
                    </w:rPr>
                    <w:t>非甲烷总烃、</w:t>
                  </w:r>
                  <w:r>
                    <w:rPr>
                      <w:rFonts w:hint="eastAsia" w:cs="Times New Roman"/>
                      <w:b w:val="0"/>
                      <w:bCs/>
                      <w:color w:val="auto"/>
                      <w:sz w:val="21"/>
                      <w:szCs w:val="21"/>
                      <w:highlight w:val="none"/>
                      <w:lang w:val="en-US" w:eastAsia="zh-CN"/>
                    </w:rPr>
                    <w:t>二氯甲烷、酚类、氨、臭气浓度</w:t>
                  </w:r>
                </w:p>
              </w:tc>
              <w:tc>
                <w:tcPr>
                  <w:tcW w:w="455" w:type="pct"/>
                  <w:shd w:val="clear" w:color="auto" w:fill="auto"/>
                  <w:vAlign w:val="center"/>
                </w:tcPr>
                <w:p w14:paraId="29B39A26">
                  <w:pPr>
                    <w:widowControl/>
                    <w:jc w:val="center"/>
                    <w:textAlignment w:val="center"/>
                    <w:rPr>
                      <w:color w:val="auto"/>
                      <w:szCs w:val="21"/>
                      <w:highlight w:val="none"/>
                    </w:rPr>
                  </w:pPr>
                  <w:r>
                    <w:rPr>
                      <w:rFonts w:hint="eastAsia"/>
                      <w:color w:val="auto"/>
                      <w:kern w:val="0"/>
                      <w:szCs w:val="21"/>
                      <w:highlight w:val="none"/>
                      <w:lang w:bidi="en-AU"/>
                    </w:rPr>
                    <w:t>113.257071</w:t>
                  </w:r>
                </w:p>
              </w:tc>
              <w:tc>
                <w:tcPr>
                  <w:tcW w:w="441" w:type="pct"/>
                  <w:shd w:val="clear" w:color="auto" w:fill="auto"/>
                  <w:vAlign w:val="center"/>
                </w:tcPr>
                <w:p w14:paraId="11DE7761">
                  <w:pPr>
                    <w:widowControl/>
                    <w:jc w:val="center"/>
                    <w:textAlignment w:val="center"/>
                    <w:rPr>
                      <w:color w:val="auto"/>
                      <w:szCs w:val="21"/>
                      <w:highlight w:val="none"/>
                    </w:rPr>
                  </w:pPr>
                  <w:r>
                    <w:rPr>
                      <w:rFonts w:hint="eastAsia"/>
                      <w:color w:val="auto"/>
                      <w:kern w:val="0"/>
                      <w:szCs w:val="21"/>
                      <w:highlight w:val="none"/>
                      <w:lang w:bidi="en-AU"/>
                    </w:rPr>
                    <w:t>22.722124</w:t>
                  </w:r>
                </w:p>
              </w:tc>
              <w:tc>
                <w:tcPr>
                  <w:tcW w:w="611" w:type="pct"/>
                  <w:shd w:val="clear" w:color="auto" w:fill="auto"/>
                  <w:vAlign w:val="center"/>
                </w:tcPr>
                <w:p w14:paraId="273D7EAB">
                  <w:pPr>
                    <w:pStyle w:val="86"/>
                    <w:numPr>
                      <w:ilvl w:val="0"/>
                      <w:numId w:val="0"/>
                    </w:numPr>
                    <w:rPr>
                      <w:rFonts w:hint="eastAsia" w:eastAsia="宋体"/>
                      <w:b w:val="0"/>
                      <w:color w:val="auto"/>
                      <w:sz w:val="21"/>
                      <w:szCs w:val="21"/>
                      <w:highlight w:val="none"/>
                      <w:lang w:eastAsia="zh-CN"/>
                    </w:rPr>
                  </w:pPr>
                  <w:r>
                    <w:rPr>
                      <w:rFonts w:hint="eastAsia"/>
                      <w:b w:val="0"/>
                      <w:color w:val="auto"/>
                      <w:sz w:val="21"/>
                      <w:szCs w:val="21"/>
                      <w:highlight w:val="none"/>
                      <w:lang w:val="en-US" w:eastAsia="zh-CN"/>
                    </w:rPr>
                    <w:t>经集气罩</w:t>
                  </w:r>
                  <w:r>
                    <w:rPr>
                      <w:rFonts w:hint="eastAsia"/>
                      <w:b w:val="0"/>
                      <w:color w:val="auto"/>
                      <w:sz w:val="21"/>
                      <w:szCs w:val="21"/>
                      <w:highlight w:val="none"/>
                      <w:lang w:eastAsia="zh-CN"/>
                    </w:rPr>
                    <w:t>收集</w:t>
                  </w:r>
                  <w:r>
                    <w:rPr>
                      <w:b w:val="0"/>
                      <w:color w:val="auto"/>
                      <w:sz w:val="21"/>
                      <w:szCs w:val="21"/>
                      <w:highlight w:val="none"/>
                    </w:rPr>
                    <w:t>+</w:t>
                  </w:r>
                  <w:r>
                    <w:rPr>
                      <w:rFonts w:hint="eastAsia"/>
                      <w:b w:val="0"/>
                      <w:color w:val="auto"/>
                      <w:sz w:val="21"/>
                      <w:szCs w:val="21"/>
                      <w:highlight w:val="none"/>
                      <w:lang w:val="en-US" w:eastAsia="zh-CN"/>
                    </w:rPr>
                    <w:t>二级</w:t>
                  </w:r>
                  <w:r>
                    <w:rPr>
                      <w:rFonts w:hint="eastAsia"/>
                      <w:b w:val="0"/>
                      <w:color w:val="auto"/>
                      <w:sz w:val="21"/>
                      <w:szCs w:val="21"/>
                      <w:highlight w:val="none"/>
                    </w:rPr>
                    <w:t>活性炭</w:t>
                  </w:r>
                  <w:r>
                    <w:rPr>
                      <w:rFonts w:hint="eastAsia"/>
                      <w:b w:val="0"/>
                      <w:color w:val="auto"/>
                      <w:sz w:val="21"/>
                      <w:szCs w:val="21"/>
                      <w:highlight w:val="none"/>
                      <w:lang w:val="en-US" w:eastAsia="zh-CN"/>
                    </w:rPr>
                    <w:t>吸附</w:t>
                  </w:r>
                  <w:r>
                    <w:rPr>
                      <w:b w:val="0"/>
                      <w:color w:val="auto"/>
                      <w:sz w:val="21"/>
                      <w:szCs w:val="21"/>
                      <w:highlight w:val="none"/>
                    </w:rPr>
                    <w:t>处理后</w:t>
                  </w:r>
                  <w:r>
                    <w:rPr>
                      <w:rFonts w:hint="eastAsia"/>
                      <w:b w:val="0"/>
                      <w:color w:val="auto"/>
                      <w:sz w:val="21"/>
                      <w:szCs w:val="21"/>
                      <w:highlight w:val="none"/>
                      <w:lang w:eastAsia="zh-CN"/>
                    </w:rPr>
                    <w:t>有组织排放</w:t>
                  </w:r>
                </w:p>
              </w:tc>
              <w:tc>
                <w:tcPr>
                  <w:tcW w:w="308" w:type="pct"/>
                  <w:shd w:val="clear" w:color="auto" w:fill="auto"/>
                  <w:vAlign w:val="center"/>
                </w:tcPr>
                <w:p w14:paraId="7C77A1AA">
                  <w:pPr>
                    <w:pStyle w:val="86"/>
                    <w:numPr>
                      <w:ilvl w:val="0"/>
                      <w:numId w:val="0"/>
                    </w:numPr>
                    <w:rPr>
                      <w:rFonts w:hint="eastAsia"/>
                      <w:b w:val="0"/>
                      <w:color w:val="auto"/>
                      <w:sz w:val="21"/>
                      <w:szCs w:val="21"/>
                      <w:highlight w:val="none"/>
                    </w:rPr>
                  </w:pPr>
                  <w:r>
                    <w:rPr>
                      <w:rFonts w:hint="eastAsia"/>
                      <w:b w:val="0"/>
                      <w:color w:val="auto"/>
                      <w:sz w:val="21"/>
                      <w:szCs w:val="21"/>
                      <w:highlight w:val="none"/>
                    </w:rPr>
                    <w:t>是</w:t>
                  </w:r>
                </w:p>
              </w:tc>
              <w:tc>
                <w:tcPr>
                  <w:tcW w:w="449" w:type="pct"/>
                  <w:shd w:val="clear" w:color="auto" w:fill="auto"/>
                  <w:vAlign w:val="center"/>
                </w:tcPr>
                <w:p w14:paraId="17C166DC">
                  <w:pPr>
                    <w:pStyle w:val="86"/>
                    <w:numPr>
                      <w:ilvl w:val="0"/>
                      <w:numId w:val="0"/>
                    </w:numPr>
                    <w:rPr>
                      <w:b w:val="0"/>
                      <w:color w:val="auto"/>
                      <w:sz w:val="21"/>
                      <w:szCs w:val="21"/>
                      <w:highlight w:val="none"/>
                    </w:rPr>
                  </w:pPr>
                  <w:r>
                    <w:rPr>
                      <w:rFonts w:hint="eastAsia"/>
                      <w:b w:val="0"/>
                      <w:color w:val="auto"/>
                      <w:sz w:val="21"/>
                      <w:szCs w:val="21"/>
                      <w:highlight w:val="none"/>
                      <w:lang w:val="en-US" w:eastAsia="zh-CN"/>
                    </w:rPr>
                    <w:t>8</w:t>
                  </w:r>
                  <w:r>
                    <w:rPr>
                      <w:rFonts w:hint="eastAsia"/>
                      <w:b w:val="0"/>
                      <w:color w:val="auto"/>
                      <w:sz w:val="21"/>
                      <w:szCs w:val="21"/>
                      <w:highlight w:val="none"/>
                    </w:rPr>
                    <w:t>000</w:t>
                  </w:r>
                </w:p>
              </w:tc>
              <w:tc>
                <w:tcPr>
                  <w:tcW w:w="301" w:type="pct"/>
                  <w:shd w:val="clear" w:color="auto" w:fill="auto"/>
                  <w:vAlign w:val="center"/>
                </w:tcPr>
                <w:p w14:paraId="3982807C">
                  <w:pPr>
                    <w:pStyle w:val="86"/>
                    <w:numPr>
                      <w:ilvl w:val="0"/>
                      <w:numId w:val="0"/>
                    </w:numPr>
                    <w:rPr>
                      <w:b w:val="0"/>
                      <w:color w:val="auto"/>
                      <w:sz w:val="21"/>
                      <w:szCs w:val="21"/>
                      <w:highlight w:val="none"/>
                    </w:rPr>
                  </w:pPr>
                  <w:r>
                    <w:rPr>
                      <w:rFonts w:hint="eastAsia"/>
                      <w:b w:val="0"/>
                      <w:color w:val="auto"/>
                      <w:sz w:val="21"/>
                      <w:szCs w:val="21"/>
                      <w:highlight w:val="none"/>
                      <w:lang w:val="en-US" w:eastAsia="zh-CN"/>
                    </w:rPr>
                    <w:t>40</w:t>
                  </w:r>
                  <w:r>
                    <w:rPr>
                      <w:b w:val="0"/>
                      <w:color w:val="auto"/>
                      <w:sz w:val="21"/>
                      <w:szCs w:val="21"/>
                      <w:highlight w:val="none"/>
                    </w:rPr>
                    <w:t>m</w:t>
                  </w:r>
                </w:p>
              </w:tc>
              <w:tc>
                <w:tcPr>
                  <w:tcW w:w="357" w:type="pct"/>
                  <w:shd w:val="clear" w:color="auto" w:fill="auto"/>
                  <w:vAlign w:val="center"/>
                </w:tcPr>
                <w:p w14:paraId="2FCB3AF6">
                  <w:pPr>
                    <w:pStyle w:val="86"/>
                    <w:numPr>
                      <w:ilvl w:val="0"/>
                      <w:numId w:val="0"/>
                    </w:numPr>
                    <w:rPr>
                      <w:rFonts w:hint="default" w:eastAsia="宋体"/>
                      <w:b w:val="0"/>
                      <w:color w:val="auto"/>
                      <w:sz w:val="21"/>
                      <w:szCs w:val="21"/>
                      <w:highlight w:val="none"/>
                      <w:lang w:val="en-US" w:eastAsia="zh-CN"/>
                    </w:rPr>
                  </w:pPr>
                  <w:r>
                    <w:rPr>
                      <w:rFonts w:hint="eastAsia"/>
                      <w:b w:val="0"/>
                      <w:color w:val="auto"/>
                      <w:sz w:val="21"/>
                      <w:szCs w:val="21"/>
                      <w:highlight w:val="none"/>
                    </w:rPr>
                    <w:t>0.</w:t>
                  </w:r>
                  <w:r>
                    <w:rPr>
                      <w:rFonts w:hint="eastAsia"/>
                      <w:b w:val="0"/>
                      <w:color w:val="auto"/>
                      <w:sz w:val="21"/>
                      <w:szCs w:val="21"/>
                      <w:highlight w:val="none"/>
                      <w:lang w:val="en-US" w:eastAsia="zh-CN"/>
                    </w:rPr>
                    <w:t>44</w:t>
                  </w:r>
                </w:p>
              </w:tc>
              <w:tc>
                <w:tcPr>
                  <w:tcW w:w="306" w:type="pct"/>
                  <w:shd w:val="clear" w:color="auto" w:fill="auto"/>
                  <w:vAlign w:val="center"/>
                </w:tcPr>
                <w:p w14:paraId="4F5CD8A2">
                  <w:pPr>
                    <w:pStyle w:val="86"/>
                    <w:numPr>
                      <w:ilvl w:val="0"/>
                      <w:numId w:val="0"/>
                    </w:numPr>
                    <w:rPr>
                      <w:b w:val="0"/>
                      <w:color w:val="auto"/>
                      <w:sz w:val="21"/>
                      <w:szCs w:val="21"/>
                      <w:highlight w:val="none"/>
                    </w:rPr>
                  </w:pPr>
                  <w:r>
                    <w:rPr>
                      <w:b w:val="0"/>
                      <w:color w:val="auto"/>
                      <w:sz w:val="21"/>
                      <w:szCs w:val="21"/>
                      <w:highlight w:val="none"/>
                    </w:rPr>
                    <w:t>常温</w:t>
                  </w:r>
                </w:p>
              </w:tc>
            </w:tr>
          </w:tbl>
          <w:p w14:paraId="268D056C">
            <w:pPr>
              <w:pStyle w:val="95"/>
              <w:spacing w:before="120"/>
              <w:ind w:left="0"/>
              <w:rPr>
                <w:rFonts w:ascii="Times New Roman" w:hAnsi="Times New Roman" w:eastAsia="宋体" w:cs="Times New Roman"/>
                <w:b/>
                <w:color w:val="auto"/>
                <w:kern w:val="2"/>
                <w:highlight w:val="none"/>
              </w:rPr>
            </w:pPr>
            <w:r>
              <w:rPr>
                <w:rFonts w:hint="eastAsia" w:ascii="Times New Roman" w:hAnsi="Times New Roman" w:eastAsia="宋体" w:cs="Times New Roman"/>
                <w:b/>
                <w:color w:val="auto"/>
                <w:kern w:val="2"/>
                <w:highlight w:val="none"/>
                <w:lang w:eastAsia="zh-CN"/>
              </w:rPr>
              <w:t>非正常排放参数</w:t>
            </w:r>
            <w:r>
              <w:rPr>
                <w:rFonts w:ascii="Times New Roman" w:hAnsi="Times New Roman" w:eastAsia="宋体" w:cs="Times New Roman"/>
                <w:b/>
                <w:color w:val="auto"/>
                <w:kern w:val="2"/>
                <w:highlight w:val="none"/>
              </w:rPr>
              <w:t>表</w:t>
            </w:r>
          </w:p>
          <w:tbl>
            <w:tblPr>
              <w:tblStyle w:val="35"/>
              <w:tblW w:w="8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45"/>
              <w:gridCol w:w="1077"/>
              <w:gridCol w:w="1542"/>
              <w:gridCol w:w="1438"/>
              <w:gridCol w:w="1423"/>
              <w:gridCol w:w="1139"/>
              <w:gridCol w:w="1012"/>
            </w:tblGrid>
            <w:tr w14:paraId="12ED8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45" w:type="dxa"/>
                  <w:vMerge w:val="restart"/>
                  <w:shd w:val="clear" w:color="auto" w:fill="auto"/>
                  <w:vAlign w:val="center"/>
                </w:tcPr>
                <w:p w14:paraId="5D217DD9">
                  <w:pPr>
                    <w:jc w:val="center"/>
                    <w:rPr>
                      <w:rFonts w:hint="eastAsia" w:eastAsia="宋体"/>
                      <w:b/>
                      <w:color w:val="auto"/>
                      <w:szCs w:val="21"/>
                      <w:highlight w:val="none"/>
                      <w:lang w:eastAsia="zh-CN"/>
                    </w:rPr>
                  </w:pPr>
                  <w:r>
                    <w:rPr>
                      <w:rFonts w:hint="eastAsia"/>
                      <w:b/>
                      <w:color w:val="auto"/>
                      <w:szCs w:val="21"/>
                      <w:highlight w:val="none"/>
                      <w:lang w:eastAsia="zh-CN"/>
                    </w:rPr>
                    <w:t>污染源</w:t>
                  </w:r>
                </w:p>
              </w:tc>
              <w:tc>
                <w:tcPr>
                  <w:tcW w:w="1077" w:type="dxa"/>
                  <w:vMerge w:val="restart"/>
                  <w:shd w:val="clear" w:color="auto" w:fill="auto"/>
                  <w:vAlign w:val="center"/>
                </w:tcPr>
                <w:p w14:paraId="44473A62">
                  <w:pPr>
                    <w:jc w:val="center"/>
                    <w:rPr>
                      <w:rFonts w:hint="eastAsia" w:eastAsia="宋体"/>
                      <w:b/>
                      <w:color w:val="auto"/>
                      <w:szCs w:val="21"/>
                      <w:highlight w:val="none"/>
                      <w:lang w:eastAsia="zh-CN"/>
                    </w:rPr>
                  </w:pPr>
                  <w:r>
                    <w:rPr>
                      <w:rFonts w:hint="eastAsia"/>
                      <w:b/>
                      <w:color w:val="auto"/>
                      <w:szCs w:val="21"/>
                      <w:highlight w:val="none"/>
                      <w:lang w:eastAsia="zh-CN"/>
                    </w:rPr>
                    <w:t>非正常排放原因</w:t>
                  </w:r>
                </w:p>
              </w:tc>
              <w:tc>
                <w:tcPr>
                  <w:tcW w:w="1542" w:type="dxa"/>
                  <w:vMerge w:val="restart"/>
                  <w:shd w:val="clear" w:color="auto" w:fill="auto"/>
                  <w:vAlign w:val="center"/>
                </w:tcPr>
                <w:p w14:paraId="2ABE9E4F">
                  <w:pPr>
                    <w:jc w:val="center"/>
                    <w:rPr>
                      <w:rFonts w:hint="eastAsia" w:eastAsia="宋体"/>
                      <w:b/>
                      <w:color w:val="auto"/>
                      <w:szCs w:val="21"/>
                      <w:highlight w:val="none"/>
                      <w:lang w:eastAsia="zh-CN"/>
                    </w:rPr>
                  </w:pPr>
                  <w:r>
                    <w:rPr>
                      <w:rFonts w:hint="eastAsia"/>
                      <w:b/>
                      <w:color w:val="auto"/>
                      <w:szCs w:val="21"/>
                      <w:highlight w:val="none"/>
                      <w:lang w:eastAsia="zh-CN"/>
                    </w:rPr>
                    <w:t>污染物</w:t>
                  </w:r>
                </w:p>
              </w:tc>
              <w:tc>
                <w:tcPr>
                  <w:tcW w:w="1438" w:type="dxa"/>
                  <w:vMerge w:val="restart"/>
                  <w:shd w:val="clear" w:color="auto" w:fill="auto"/>
                  <w:vAlign w:val="center"/>
                </w:tcPr>
                <w:p w14:paraId="2A2A3849">
                  <w:pPr>
                    <w:jc w:val="center"/>
                    <w:rPr>
                      <w:rFonts w:hint="eastAsia" w:eastAsia="宋体"/>
                      <w:b/>
                      <w:color w:val="auto"/>
                      <w:szCs w:val="21"/>
                      <w:highlight w:val="none"/>
                      <w:lang w:eastAsia="zh-CN"/>
                    </w:rPr>
                  </w:pPr>
                  <w:r>
                    <w:rPr>
                      <w:rFonts w:hint="eastAsia"/>
                      <w:b/>
                      <w:color w:val="auto"/>
                      <w:szCs w:val="21"/>
                      <w:highlight w:val="none"/>
                      <w:lang w:eastAsia="zh-CN"/>
                    </w:rPr>
                    <w:t>非正常排放速率（</w:t>
                  </w:r>
                  <w:r>
                    <w:rPr>
                      <w:rFonts w:hint="eastAsia"/>
                      <w:b/>
                      <w:color w:val="auto"/>
                      <w:szCs w:val="21"/>
                      <w:highlight w:val="none"/>
                      <w:lang w:val="en-US" w:eastAsia="zh-CN"/>
                    </w:rPr>
                    <w:t>kg/h</w:t>
                  </w:r>
                  <w:r>
                    <w:rPr>
                      <w:rFonts w:hint="eastAsia"/>
                      <w:b/>
                      <w:color w:val="auto"/>
                      <w:szCs w:val="21"/>
                      <w:highlight w:val="none"/>
                      <w:lang w:eastAsia="zh-CN"/>
                    </w:rPr>
                    <w:t>）</w:t>
                  </w:r>
                </w:p>
              </w:tc>
              <w:tc>
                <w:tcPr>
                  <w:tcW w:w="1423" w:type="dxa"/>
                  <w:vMerge w:val="restart"/>
                  <w:shd w:val="clear" w:color="auto" w:fill="auto"/>
                  <w:vAlign w:val="center"/>
                </w:tcPr>
                <w:p w14:paraId="6324D42D">
                  <w:pPr>
                    <w:jc w:val="center"/>
                    <w:rPr>
                      <w:rFonts w:hint="eastAsia" w:eastAsia="宋体"/>
                      <w:b/>
                      <w:color w:val="auto"/>
                      <w:szCs w:val="21"/>
                      <w:highlight w:val="none"/>
                      <w:lang w:eastAsia="zh-CN"/>
                    </w:rPr>
                  </w:pPr>
                  <w:r>
                    <w:rPr>
                      <w:rFonts w:hint="eastAsia"/>
                      <w:b/>
                      <w:color w:val="auto"/>
                      <w:szCs w:val="21"/>
                      <w:highlight w:val="none"/>
                      <w:lang w:eastAsia="zh-CN"/>
                    </w:rPr>
                    <w:t>非正常排放浓度（</w:t>
                  </w:r>
                  <w:r>
                    <w:rPr>
                      <w:rFonts w:hint="eastAsia"/>
                      <w:b/>
                      <w:color w:val="auto"/>
                      <w:szCs w:val="21"/>
                      <w:highlight w:val="none"/>
                      <w:lang w:val="en-US" w:eastAsia="zh-CN"/>
                    </w:rPr>
                    <w:t>mg/m³</w:t>
                  </w:r>
                  <w:r>
                    <w:rPr>
                      <w:rFonts w:hint="eastAsia"/>
                      <w:b/>
                      <w:color w:val="auto"/>
                      <w:szCs w:val="21"/>
                      <w:highlight w:val="none"/>
                      <w:lang w:eastAsia="zh-CN"/>
                    </w:rPr>
                    <w:t>）</w:t>
                  </w:r>
                </w:p>
              </w:tc>
              <w:tc>
                <w:tcPr>
                  <w:tcW w:w="1139" w:type="dxa"/>
                  <w:vMerge w:val="restart"/>
                  <w:shd w:val="clear" w:color="auto" w:fill="auto"/>
                  <w:vAlign w:val="center"/>
                </w:tcPr>
                <w:p w14:paraId="0CF33208">
                  <w:pPr>
                    <w:jc w:val="center"/>
                    <w:rPr>
                      <w:rFonts w:hint="default" w:ascii="Times New Roman" w:hAnsi="Times New Roman" w:eastAsia="宋体" w:cs="Times New Roman"/>
                      <w:b/>
                      <w:color w:val="auto"/>
                      <w:szCs w:val="21"/>
                      <w:highlight w:val="none"/>
                      <w:lang w:val="en-US" w:eastAsia="zh-CN"/>
                    </w:rPr>
                  </w:pPr>
                  <w:r>
                    <w:rPr>
                      <w:rFonts w:hint="eastAsia" w:ascii="Times New Roman" w:hAnsi="Times New Roman" w:eastAsia="宋体" w:cs="Times New Roman"/>
                      <w:b/>
                      <w:color w:val="auto"/>
                      <w:szCs w:val="21"/>
                      <w:highlight w:val="none"/>
                      <w:lang w:eastAsia="zh-CN"/>
                    </w:rPr>
                    <w:t>单次持续时间</w:t>
                  </w:r>
                  <w:r>
                    <w:rPr>
                      <w:rFonts w:hint="eastAsia" w:ascii="Times New Roman" w:hAnsi="Times New Roman" w:eastAsia="宋体" w:cs="Times New Roman"/>
                      <w:b/>
                      <w:color w:val="auto"/>
                      <w:szCs w:val="21"/>
                      <w:highlight w:val="none"/>
                      <w:lang w:val="en-US" w:eastAsia="zh-CN"/>
                    </w:rPr>
                    <w:t>/h</w:t>
                  </w:r>
                </w:p>
              </w:tc>
              <w:tc>
                <w:tcPr>
                  <w:tcW w:w="1012" w:type="dxa"/>
                  <w:vMerge w:val="restart"/>
                  <w:shd w:val="clear" w:color="auto" w:fill="auto"/>
                  <w:vAlign w:val="center"/>
                </w:tcPr>
                <w:p w14:paraId="5547E361">
                  <w:pPr>
                    <w:jc w:val="center"/>
                    <w:rPr>
                      <w:rFonts w:hint="default" w:eastAsia="宋体"/>
                      <w:b/>
                      <w:color w:val="auto"/>
                      <w:szCs w:val="21"/>
                      <w:highlight w:val="none"/>
                      <w:lang w:val="en-US" w:eastAsia="zh-CN"/>
                    </w:rPr>
                  </w:pPr>
                  <w:r>
                    <w:rPr>
                      <w:rFonts w:hint="eastAsia"/>
                      <w:b/>
                      <w:color w:val="auto"/>
                      <w:szCs w:val="21"/>
                      <w:highlight w:val="none"/>
                      <w:lang w:eastAsia="zh-CN"/>
                    </w:rPr>
                    <w:t>年发生频次</w:t>
                  </w:r>
                  <w:r>
                    <w:rPr>
                      <w:rFonts w:hint="eastAsia"/>
                      <w:b/>
                      <w:color w:val="auto"/>
                      <w:szCs w:val="21"/>
                      <w:highlight w:val="none"/>
                      <w:lang w:val="en-US" w:eastAsia="zh-CN"/>
                    </w:rPr>
                    <w:t>/次</w:t>
                  </w:r>
                </w:p>
              </w:tc>
            </w:tr>
            <w:tr w14:paraId="28F14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vMerge w:val="continue"/>
                  <w:shd w:val="clear" w:color="auto" w:fill="auto"/>
                  <w:vAlign w:val="center"/>
                </w:tcPr>
                <w:p w14:paraId="3ED2823A">
                  <w:pPr>
                    <w:jc w:val="center"/>
                    <w:rPr>
                      <w:b/>
                      <w:color w:val="auto"/>
                      <w:szCs w:val="21"/>
                      <w:highlight w:val="none"/>
                    </w:rPr>
                  </w:pPr>
                </w:p>
              </w:tc>
              <w:tc>
                <w:tcPr>
                  <w:tcW w:w="1077" w:type="dxa"/>
                  <w:vMerge w:val="continue"/>
                  <w:shd w:val="clear" w:color="auto" w:fill="auto"/>
                  <w:vAlign w:val="center"/>
                </w:tcPr>
                <w:p w14:paraId="2B05F089">
                  <w:pPr>
                    <w:jc w:val="center"/>
                    <w:rPr>
                      <w:b/>
                      <w:color w:val="auto"/>
                      <w:szCs w:val="21"/>
                      <w:highlight w:val="none"/>
                    </w:rPr>
                  </w:pPr>
                </w:p>
              </w:tc>
              <w:tc>
                <w:tcPr>
                  <w:tcW w:w="1542" w:type="dxa"/>
                  <w:vMerge w:val="continue"/>
                  <w:shd w:val="clear" w:color="auto" w:fill="auto"/>
                  <w:vAlign w:val="center"/>
                </w:tcPr>
                <w:p w14:paraId="2A068EFB">
                  <w:pPr>
                    <w:jc w:val="center"/>
                    <w:rPr>
                      <w:b/>
                      <w:color w:val="auto"/>
                      <w:szCs w:val="21"/>
                      <w:highlight w:val="none"/>
                    </w:rPr>
                  </w:pPr>
                </w:p>
              </w:tc>
              <w:tc>
                <w:tcPr>
                  <w:tcW w:w="1438" w:type="dxa"/>
                  <w:vMerge w:val="continue"/>
                  <w:shd w:val="clear" w:color="auto" w:fill="auto"/>
                  <w:vAlign w:val="center"/>
                </w:tcPr>
                <w:p w14:paraId="4D3274C4">
                  <w:pPr>
                    <w:jc w:val="center"/>
                    <w:rPr>
                      <w:b/>
                      <w:color w:val="auto"/>
                      <w:szCs w:val="21"/>
                      <w:highlight w:val="none"/>
                    </w:rPr>
                  </w:pPr>
                </w:p>
              </w:tc>
              <w:tc>
                <w:tcPr>
                  <w:tcW w:w="1423" w:type="dxa"/>
                  <w:vMerge w:val="continue"/>
                  <w:shd w:val="clear" w:color="auto" w:fill="auto"/>
                  <w:vAlign w:val="center"/>
                </w:tcPr>
                <w:p w14:paraId="2429E012">
                  <w:pPr>
                    <w:jc w:val="center"/>
                    <w:rPr>
                      <w:b/>
                      <w:color w:val="auto"/>
                      <w:szCs w:val="21"/>
                      <w:highlight w:val="none"/>
                    </w:rPr>
                  </w:pPr>
                </w:p>
              </w:tc>
              <w:tc>
                <w:tcPr>
                  <w:tcW w:w="1139" w:type="dxa"/>
                  <w:vMerge w:val="continue"/>
                  <w:shd w:val="clear" w:color="auto" w:fill="auto"/>
                  <w:vAlign w:val="center"/>
                </w:tcPr>
                <w:p w14:paraId="7376F564">
                  <w:pPr>
                    <w:jc w:val="center"/>
                    <w:rPr>
                      <w:b/>
                      <w:color w:val="auto"/>
                      <w:szCs w:val="21"/>
                      <w:highlight w:val="none"/>
                    </w:rPr>
                  </w:pPr>
                </w:p>
              </w:tc>
              <w:tc>
                <w:tcPr>
                  <w:tcW w:w="1012" w:type="dxa"/>
                  <w:vMerge w:val="continue"/>
                  <w:shd w:val="clear" w:color="auto" w:fill="auto"/>
                  <w:vAlign w:val="center"/>
                </w:tcPr>
                <w:p w14:paraId="587B5730">
                  <w:pPr>
                    <w:jc w:val="center"/>
                    <w:rPr>
                      <w:b/>
                      <w:color w:val="auto"/>
                      <w:szCs w:val="21"/>
                      <w:highlight w:val="none"/>
                    </w:rPr>
                  </w:pPr>
                </w:p>
              </w:tc>
            </w:tr>
            <w:tr w14:paraId="21D6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5" w:type="dxa"/>
                  <w:shd w:val="clear" w:color="auto" w:fill="auto"/>
                  <w:vAlign w:val="center"/>
                </w:tcPr>
                <w:p w14:paraId="5E3B9E76">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G1</w:t>
                  </w:r>
                  <w:r>
                    <w:rPr>
                      <w:rFonts w:hint="eastAsia" w:eastAsia="宋体"/>
                      <w:b w:val="0"/>
                      <w:color w:val="auto"/>
                      <w:sz w:val="21"/>
                      <w:szCs w:val="21"/>
                      <w:highlight w:val="none"/>
                      <w:lang w:val="en-US" w:eastAsia="zh-CN"/>
                    </w:rPr>
                    <w:t>烘料、注塑工序废气</w:t>
                  </w:r>
                </w:p>
              </w:tc>
              <w:tc>
                <w:tcPr>
                  <w:tcW w:w="1077" w:type="dxa"/>
                  <w:shd w:val="clear" w:color="auto" w:fill="auto"/>
                  <w:vAlign w:val="center"/>
                </w:tcPr>
                <w:p w14:paraId="5D13C088">
                  <w:pPr>
                    <w:pStyle w:val="86"/>
                    <w:numPr>
                      <w:ilvl w:val="0"/>
                      <w:numId w:val="0"/>
                    </w:numPr>
                    <w:ind w:left="0" w:lef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废气收集措施故障，废气收集的效率降至0</w:t>
                  </w:r>
                </w:p>
              </w:tc>
              <w:tc>
                <w:tcPr>
                  <w:tcW w:w="1542" w:type="dxa"/>
                  <w:shd w:val="clear" w:color="auto" w:fill="auto"/>
                  <w:vAlign w:val="center"/>
                </w:tcPr>
                <w:p w14:paraId="6D7CF955">
                  <w:pPr>
                    <w:pStyle w:val="86"/>
                    <w:numPr>
                      <w:ilvl w:val="0"/>
                      <w:numId w:val="0"/>
                    </w:numPr>
                    <w:ind w:left="0" w:lef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非甲烷总烃、</w:t>
                  </w:r>
                  <w:r>
                    <w:rPr>
                      <w:rFonts w:hint="eastAsia" w:cs="Times New Roman"/>
                      <w:b w:val="0"/>
                      <w:bCs/>
                      <w:color w:val="auto"/>
                      <w:sz w:val="21"/>
                      <w:szCs w:val="21"/>
                      <w:highlight w:val="none"/>
                      <w:lang w:val="en-US" w:eastAsia="zh-CN"/>
                    </w:rPr>
                    <w:t>二氯甲烷、酚类、氨、臭气浓度</w:t>
                  </w:r>
                </w:p>
              </w:tc>
              <w:tc>
                <w:tcPr>
                  <w:tcW w:w="1438" w:type="dxa"/>
                  <w:shd w:val="clear" w:color="auto" w:fill="auto"/>
                  <w:vAlign w:val="center"/>
                </w:tcPr>
                <w:p w14:paraId="43E6CCE0">
                  <w:pPr>
                    <w:pStyle w:val="86"/>
                    <w:numPr>
                      <w:ilvl w:val="0"/>
                      <w:numId w:val="0"/>
                    </w:numPr>
                    <w:rPr>
                      <w:rFonts w:hint="default" w:eastAsia="宋体"/>
                      <w:b w:val="0"/>
                      <w:color w:val="auto"/>
                      <w:sz w:val="21"/>
                      <w:szCs w:val="21"/>
                      <w:highlight w:val="none"/>
                      <w:lang w:val="en-US" w:eastAsia="zh-CN"/>
                    </w:rPr>
                  </w:pPr>
                  <w:r>
                    <w:rPr>
                      <w:rFonts w:hint="eastAsia"/>
                      <w:b w:val="0"/>
                      <w:color w:val="auto"/>
                      <w:sz w:val="21"/>
                      <w:szCs w:val="21"/>
                      <w:highlight w:val="none"/>
                      <w:lang w:val="en-US" w:eastAsia="zh-CN"/>
                    </w:rPr>
                    <w:t>0.0120</w:t>
                  </w:r>
                </w:p>
              </w:tc>
              <w:tc>
                <w:tcPr>
                  <w:tcW w:w="1423" w:type="dxa"/>
                  <w:shd w:val="clear" w:color="auto" w:fill="auto"/>
                  <w:vAlign w:val="center"/>
                </w:tcPr>
                <w:p w14:paraId="3B18BD19">
                  <w:pPr>
                    <w:pStyle w:val="86"/>
                    <w:numPr>
                      <w:ilvl w:val="0"/>
                      <w:numId w:val="0"/>
                    </w:numPr>
                    <w:rPr>
                      <w:rFonts w:hint="default" w:eastAsia="宋体"/>
                      <w:b w:val="0"/>
                      <w:color w:val="auto"/>
                      <w:sz w:val="21"/>
                      <w:szCs w:val="21"/>
                      <w:highlight w:val="none"/>
                      <w:lang w:val="en-US" w:eastAsia="zh-CN"/>
                    </w:rPr>
                  </w:pPr>
                  <w:r>
                    <w:rPr>
                      <w:rFonts w:hint="eastAsia"/>
                      <w:b w:val="0"/>
                      <w:color w:val="auto"/>
                      <w:sz w:val="21"/>
                      <w:szCs w:val="21"/>
                      <w:highlight w:val="none"/>
                      <w:lang w:val="en-US" w:eastAsia="zh-CN"/>
                    </w:rPr>
                    <w:t>1.5000</w:t>
                  </w:r>
                </w:p>
              </w:tc>
              <w:tc>
                <w:tcPr>
                  <w:tcW w:w="1139" w:type="dxa"/>
                  <w:shd w:val="clear" w:color="auto" w:fill="auto"/>
                  <w:vAlign w:val="center"/>
                </w:tcPr>
                <w:p w14:paraId="3A9633DE">
                  <w:pPr>
                    <w:pStyle w:val="86"/>
                    <w:numPr>
                      <w:ilvl w:val="0"/>
                      <w:numId w:val="0"/>
                    </w:numPr>
                    <w:rPr>
                      <w:rFonts w:hint="default" w:eastAsia="宋体"/>
                      <w:b w:val="0"/>
                      <w:color w:val="auto"/>
                      <w:sz w:val="21"/>
                      <w:szCs w:val="21"/>
                      <w:highlight w:val="none"/>
                      <w:lang w:val="en-US" w:eastAsia="zh-CN"/>
                    </w:rPr>
                  </w:pPr>
                  <w:r>
                    <w:rPr>
                      <w:rFonts w:hint="eastAsia" w:eastAsia="宋体"/>
                      <w:b w:val="0"/>
                      <w:color w:val="auto"/>
                      <w:sz w:val="21"/>
                      <w:szCs w:val="21"/>
                      <w:highlight w:val="none"/>
                      <w:lang w:val="en-US" w:eastAsia="zh-CN"/>
                    </w:rPr>
                    <w:t>/</w:t>
                  </w:r>
                </w:p>
              </w:tc>
              <w:tc>
                <w:tcPr>
                  <w:tcW w:w="1012" w:type="dxa"/>
                  <w:shd w:val="clear" w:color="auto" w:fill="auto"/>
                  <w:vAlign w:val="center"/>
                </w:tcPr>
                <w:p w14:paraId="26AB9656">
                  <w:pPr>
                    <w:pStyle w:val="86"/>
                    <w:numPr>
                      <w:ilvl w:val="0"/>
                      <w:numId w:val="0"/>
                    </w:numPr>
                    <w:rPr>
                      <w:rFonts w:hint="eastAsia" w:eastAsia="宋体"/>
                      <w:b w:val="0"/>
                      <w:color w:val="auto"/>
                      <w:sz w:val="21"/>
                      <w:szCs w:val="21"/>
                      <w:highlight w:val="none"/>
                      <w:lang w:val="en-US" w:eastAsia="zh-CN"/>
                    </w:rPr>
                  </w:pPr>
                  <w:r>
                    <w:rPr>
                      <w:rFonts w:hint="eastAsia"/>
                      <w:b w:val="0"/>
                      <w:color w:val="auto"/>
                      <w:sz w:val="21"/>
                      <w:szCs w:val="21"/>
                      <w:highlight w:val="none"/>
                      <w:lang w:val="en-US" w:eastAsia="zh-CN"/>
                    </w:rPr>
                    <w:t>/</w:t>
                  </w:r>
                </w:p>
              </w:tc>
            </w:tr>
          </w:tbl>
          <w:p w14:paraId="1F93EE6E">
            <w:pPr>
              <w:spacing w:line="360" w:lineRule="auto"/>
              <w:ind w:firstLine="482" w:firstLineChars="200"/>
              <w:rPr>
                <w:b/>
                <w:color w:val="auto"/>
                <w:sz w:val="24"/>
                <w:szCs w:val="20"/>
                <w:highlight w:val="none"/>
              </w:rPr>
            </w:pPr>
            <w:r>
              <w:rPr>
                <w:b/>
                <w:color w:val="auto"/>
                <w:sz w:val="24"/>
                <w:szCs w:val="20"/>
                <w:highlight w:val="none"/>
              </w:rPr>
              <w:t>项目废气治理可行性分析：</w:t>
            </w:r>
          </w:p>
          <w:p w14:paraId="66F25F28">
            <w:pPr>
              <w:spacing w:line="360" w:lineRule="auto"/>
              <w:ind w:firstLine="482" w:firstLineChars="200"/>
              <w:rPr>
                <w:color w:val="auto"/>
                <w:sz w:val="24"/>
              </w:rPr>
            </w:pPr>
            <w:r>
              <w:rPr>
                <w:b/>
                <w:bCs/>
                <w:color w:val="auto"/>
                <w:sz w:val="24"/>
              </w:rPr>
              <w:t>二级活性炭吸附可行性分析</w:t>
            </w:r>
            <w:r>
              <w:rPr>
                <w:color w:val="auto"/>
                <w:sz w:val="24"/>
              </w:rPr>
              <w:t>：活性炭是一种很细小的炭粒，有很大的表面积，而且炭粒中还有更细小的孔——毛细管。这种毛细管具有很强的吸附能力，由于炭粒的表面积很大，从而赋予了活性炭所特有的吸附性能，所以能与气体（杂质）充分接触，当这些气体（杂质）碰到毛细管就被吸附，起到净化作用。</w:t>
            </w:r>
          </w:p>
          <w:p w14:paraId="2013B061">
            <w:pPr>
              <w:spacing w:line="360" w:lineRule="auto"/>
              <w:ind w:firstLine="480" w:firstLineChars="200"/>
              <w:rPr>
                <w:rFonts w:hint="eastAsia" w:eastAsia="宋体"/>
                <w:color w:val="auto"/>
                <w:sz w:val="24"/>
                <w:lang w:eastAsia="zh-CN"/>
              </w:rPr>
            </w:pPr>
            <w:r>
              <w:rPr>
                <w:color w:val="auto"/>
                <w:sz w:val="24"/>
              </w:rPr>
              <w:t>二级活性炭吸附法处理有机废气是目前最成熟的废气处理方式之一，</w:t>
            </w:r>
            <w:r>
              <w:rPr>
                <w:rFonts w:hint="eastAsia"/>
                <w:color w:val="auto"/>
                <w:sz w:val="24"/>
                <w:szCs w:val="22"/>
                <w:lang w:val="en-US" w:eastAsia="zh-CN"/>
              </w:rPr>
              <w:t>，</w:t>
            </w:r>
            <w:r>
              <w:rPr>
                <w:color w:val="auto"/>
                <w:sz w:val="24"/>
              </w:rPr>
              <w:t>二级活性炭吸附的效果可以达到</w:t>
            </w:r>
            <w:r>
              <w:rPr>
                <w:rFonts w:hint="eastAsia"/>
                <w:color w:val="auto"/>
                <w:sz w:val="24"/>
                <w:lang w:val="en-US" w:eastAsia="zh-CN"/>
              </w:rPr>
              <w:t>7</w:t>
            </w:r>
            <w:r>
              <w:rPr>
                <w:color w:val="auto"/>
                <w:sz w:val="24"/>
              </w:rPr>
              <w:t>0%以上，且设备简单、投资小，从而很大程度上减少对环境的污染。二级活性炭吸附处理在治理有机废气方面应用比较广泛，活性炭由于比表面积大，质量轻，良好的选择活性及热稳定性等特点，广泛应用于注塑、发泡、家具、喷漆废气及恶臭气体的治理方面，活性炭是应用最早、用途最广的一种优良吸附剂，对各种有机气体等具有。项目拟采用二级活性炭吸附装置对</w:t>
            </w:r>
            <w:r>
              <w:rPr>
                <w:rFonts w:hint="eastAsia"/>
                <w:color w:val="auto"/>
                <w:sz w:val="24"/>
              </w:rPr>
              <w:t>烘料、注塑、喷脱模剂</w:t>
            </w:r>
            <w:r>
              <w:rPr>
                <w:color w:val="auto"/>
                <w:sz w:val="24"/>
              </w:rPr>
              <w:t>工序</w:t>
            </w:r>
            <w:r>
              <w:rPr>
                <w:rFonts w:hint="eastAsia"/>
                <w:color w:val="auto"/>
                <w:sz w:val="24"/>
              </w:rPr>
              <w:t>废</w:t>
            </w:r>
            <w:r>
              <w:rPr>
                <w:color w:val="auto"/>
                <w:sz w:val="24"/>
              </w:rPr>
              <w:t>气进行吸附处理</w:t>
            </w:r>
            <w:r>
              <w:rPr>
                <w:rFonts w:hint="eastAsia"/>
                <w:color w:val="auto"/>
                <w:sz w:val="24"/>
                <w:lang w:val="en-US" w:eastAsia="zh-CN"/>
              </w:rPr>
              <w:t>.</w:t>
            </w:r>
          </w:p>
          <w:p w14:paraId="264893ED">
            <w:pPr>
              <w:spacing w:line="360" w:lineRule="auto"/>
              <w:ind w:firstLine="480" w:firstLineChars="200"/>
              <w:rPr>
                <w:color w:val="auto"/>
              </w:rPr>
            </w:pPr>
            <w:r>
              <w:rPr>
                <w:color w:val="auto"/>
                <w:sz w:val="24"/>
              </w:rPr>
              <w:t>吸附法为《排污许可证申请与核发技术规范橡胶和塑料制品工业》（HJ 1122-2020）中为表A.2塑料制品工业排污单位废气污染防治可行技术参考表中塑料零件及其他塑料制品制造废气中可行性技术，故</w:t>
            </w:r>
            <w:r>
              <w:rPr>
                <w:rFonts w:hint="eastAsia"/>
                <w:color w:val="auto"/>
                <w:sz w:val="24"/>
              </w:rPr>
              <w:t>烘料、注塑工序经</w:t>
            </w:r>
            <w:r>
              <w:rPr>
                <w:rFonts w:hint="eastAsia"/>
                <w:color w:val="auto"/>
                <w:sz w:val="24"/>
                <w:lang w:val="en-US" w:eastAsia="zh-CN"/>
              </w:rPr>
              <w:t>集气罩</w:t>
            </w:r>
            <w:r>
              <w:rPr>
                <w:color w:val="auto"/>
                <w:sz w:val="24"/>
              </w:rPr>
              <w:t>收集后经</w:t>
            </w:r>
            <w:r>
              <w:rPr>
                <w:rFonts w:hint="eastAsia"/>
                <w:color w:val="auto"/>
                <w:sz w:val="24"/>
              </w:rPr>
              <w:t>“</w:t>
            </w:r>
            <w:r>
              <w:rPr>
                <w:color w:val="auto"/>
                <w:sz w:val="24"/>
              </w:rPr>
              <w:t>二级活性炭吸附装置</w:t>
            </w:r>
            <w:r>
              <w:rPr>
                <w:rFonts w:hint="eastAsia"/>
                <w:color w:val="auto"/>
                <w:sz w:val="24"/>
              </w:rPr>
              <w:t>”</w:t>
            </w:r>
            <w:r>
              <w:rPr>
                <w:color w:val="auto"/>
                <w:sz w:val="24"/>
              </w:rPr>
              <w:t>处理后由一根</w:t>
            </w:r>
            <w:r>
              <w:rPr>
                <w:rFonts w:hint="eastAsia"/>
                <w:color w:val="auto"/>
                <w:sz w:val="24"/>
                <w:lang w:val="en-US" w:eastAsia="zh-CN"/>
              </w:rPr>
              <w:t>40</w:t>
            </w:r>
            <w:r>
              <w:rPr>
                <w:color w:val="auto"/>
                <w:sz w:val="24"/>
              </w:rPr>
              <w:t>m高排气筒（G1）有组织排放中活性炭吸附为可行技术。</w:t>
            </w:r>
            <w:r>
              <w:rPr>
                <w:rFonts w:hint="eastAsia"/>
                <w:color w:val="auto"/>
                <w:sz w:val="24"/>
                <w:lang w:val="en-US" w:eastAsia="zh-CN"/>
              </w:rPr>
              <w:t>本</w:t>
            </w:r>
            <w:r>
              <w:rPr>
                <w:color w:val="auto"/>
                <w:sz w:val="24"/>
              </w:rPr>
              <w:t>项目处理效率取</w:t>
            </w:r>
            <w:r>
              <w:rPr>
                <w:rFonts w:hint="eastAsia"/>
                <w:color w:val="auto"/>
                <w:sz w:val="24"/>
                <w:lang w:val="en-US" w:eastAsia="zh-CN"/>
              </w:rPr>
              <w:t>75</w:t>
            </w:r>
            <w:r>
              <w:rPr>
                <w:color w:val="auto"/>
                <w:sz w:val="24"/>
              </w:rPr>
              <w:t>%。</w:t>
            </w:r>
          </w:p>
          <w:p w14:paraId="4030A862">
            <w:pPr>
              <w:pStyle w:val="95"/>
              <w:spacing w:before="120"/>
              <w:ind w:left="0"/>
              <w:rPr>
                <w:b/>
                <w:bCs/>
                <w:color w:val="auto"/>
                <w:sz w:val="21"/>
                <w:szCs w:val="21"/>
                <w:highlight w:val="none"/>
              </w:rPr>
            </w:pPr>
            <w:r>
              <w:rPr>
                <w:rFonts w:hint="eastAsia"/>
                <w:b/>
                <w:bCs/>
                <w:color w:val="auto"/>
                <w:sz w:val="21"/>
                <w:szCs w:val="21"/>
                <w:highlight w:val="none"/>
                <w:lang w:eastAsia="zh-CN"/>
              </w:rPr>
              <w:t>活性炭废气装置参数一览表</w:t>
            </w:r>
          </w:p>
          <w:tbl>
            <w:tblPr>
              <w:tblStyle w:val="1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1"/>
              <w:gridCol w:w="2981"/>
              <w:gridCol w:w="2875"/>
            </w:tblGrid>
            <w:tr w14:paraId="22EC2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tcBorders>
                    <w:top w:val="single" w:color="auto" w:sz="4" w:space="0"/>
                    <w:left w:val="single" w:color="auto" w:sz="4" w:space="0"/>
                    <w:right w:val="single" w:color="auto" w:sz="4" w:space="0"/>
                  </w:tcBorders>
                  <w:noWrap w:val="0"/>
                  <w:vAlign w:val="center"/>
                </w:tcPr>
                <w:p w14:paraId="301AF435">
                  <w:pPr>
                    <w:jc w:val="center"/>
                    <w:rPr>
                      <w:rFonts w:hint="default"/>
                      <w:b/>
                      <w:bCs/>
                      <w:color w:val="auto"/>
                      <w:szCs w:val="21"/>
                      <w:lang w:val="en-US" w:eastAsia="zh-CN"/>
                    </w:rPr>
                  </w:pPr>
                  <w:r>
                    <w:rPr>
                      <w:rFonts w:hint="eastAsia"/>
                      <w:b/>
                      <w:bCs/>
                      <w:color w:val="auto"/>
                      <w:szCs w:val="21"/>
                      <w:lang w:val="en-US" w:eastAsia="zh-CN"/>
                    </w:rPr>
                    <w:t>设施名称</w:t>
                  </w:r>
                </w:p>
              </w:tc>
              <w:tc>
                <w:tcPr>
                  <w:tcW w:w="1686" w:type="pct"/>
                  <w:tcBorders>
                    <w:top w:val="single" w:color="auto" w:sz="4" w:space="0"/>
                    <w:left w:val="single" w:color="auto" w:sz="4" w:space="0"/>
                    <w:right w:val="single" w:color="auto" w:sz="4" w:space="0"/>
                  </w:tcBorders>
                  <w:noWrap w:val="0"/>
                  <w:vAlign w:val="center"/>
                </w:tcPr>
                <w:p w14:paraId="1E691A8D">
                  <w:pPr>
                    <w:jc w:val="center"/>
                    <w:rPr>
                      <w:rFonts w:hint="default"/>
                      <w:b/>
                      <w:bCs/>
                      <w:color w:val="auto"/>
                      <w:szCs w:val="21"/>
                      <w:lang w:val="en-US" w:eastAsia="zh-CN"/>
                    </w:rPr>
                  </w:pPr>
                  <w:r>
                    <w:rPr>
                      <w:rFonts w:hint="eastAsia"/>
                      <w:b/>
                      <w:bCs/>
                      <w:color w:val="auto"/>
                      <w:szCs w:val="21"/>
                      <w:lang w:val="en-US" w:eastAsia="zh-CN"/>
                    </w:rPr>
                    <w:t>参数</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1B4275C5">
                  <w:pPr>
                    <w:jc w:val="center"/>
                    <w:rPr>
                      <w:rFonts w:hint="default" w:eastAsia="宋体"/>
                      <w:b/>
                      <w:bCs/>
                      <w:color w:val="auto"/>
                      <w:kern w:val="0"/>
                      <w:szCs w:val="21"/>
                      <w:lang w:val="en-US" w:eastAsia="zh-CN" w:bidi="ar"/>
                    </w:rPr>
                  </w:pPr>
                  <w:r>
                    <w:rPr>
                      <w:rFonts w:hint="eastAsia"/>
                      <w:b/>
                      <w:bCs/>
                      <w:color w:val="auto"/>
                      <w:kern w:val="0"/>
                      <w:szCs w:val="21"/>
                      <w:lang w:val="en-US" w:eastAsia="zh-CN" w:bidi="ar"/>
                    </w:rPr>
                    <w:t>数值</w:t>
                  </w:r>
                </w:p>
              </w:tc>
            </w:tr>
            <w:tr w14:paraId="003D0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restart"/>
                  <w:tcBorders>
                    <w:top w:val="single" w:color="auto" w:sz="4" w:space="0"/>
                    <w:left w:val="single" w:color="auto" w:sz="4" w:space="0"/>
                    <w:right w:val="single" w:color="auto" w:sz="4" w:space="0"/>
                  </w:tcBorders>
                  <w:noWrap w:val="0"/>
                  <w:vAlign w:val="center"/>
                </w:tcPr>
                <w:p w14:paraId="45CE887E">
                  <w:pPr>
                    <w:jc w:val="center"/>
                    <w:rPr>
                      <w:rFonts w:hint="default"/>
                      <w:b/>
                      <w:bCs/>
                      <w:color w:val="auto"/>
                      <w:szCs w:val="21"/>
                      <w:lang w:val="en-US" w:eastAsia="zh-CN"/>
                    </w:rPr>
                  </w:pPr>
                  <w:bookmarkStart w:id="11" w:name="_GoBack"/>
                  <w:bookmarkEnd w:id="11"/>
                  <w:r>
                    <w:rPr>
                      <w:rFonts w:hint="eastAsia"/>
                      <w:b/>
                      <w:bCs/>
                      <w:color w:val="auto"/>
                      <w:szCs w:val="21"/>
                      <w:lang w:val="en-US" w:eastAsia="zh-CN"/>
                    </w:rPr>
                    <w:t>二级活性炭吸附装置</w:t>
                  </w:r>
                </w:p>
              </w:tc>
              <w:tc>
                <w:tcPr>
                  <w:tcW w:w="1686" w:type="pct"/>
                  <w:tcBorders>
                    <w:top w:val="single" w:color="auto" w:sz="4" w:space="0"/>
                    <w:left w:val="single" w:color="auto" w:sz="4" w:space="0"/>
                    <w:right w:val="single" w:color="auto" w:sz="4" w:space="0"/>
                  </w:tcBorders>
                  <w:noWrap w:val="0"/>
                  <w:vAlign w:val="center"/>
                </w:tcPr>
                <w:p w14:paraId="0EBF4A8A">
                  <w:pPr>
                    <w:jc w:val="center"/>
                    <w:rPr>
                      <w:rFonts w:hint="default" w:eastAsia="宋体"/>
                      <w:color w:val="auto"/>
                      <w:szCs w:val="21"/>
                      <w:lang w:val="en-US" w:eastAsia="zh-CN"/>
                    </w:rPr>
                  </w:pPr>
                  <w:r>
                    <w:rPr>
                      <w:rFonts w:hint="eastAsia"/>
                      <w:b/>
                      <w:bCs/>
                      <w:color w:val="auto"/>
                      <w:szCs w:val="21"/>
                      <w:lang w:val="en-US" w:eastAsia="zh-CN"/>
                    </w:rPr>
                    <w:t>Q设计风量（m</w:t>
                  </w:r>
                  <w:r>
                    <w:rPr>
                      <w:rFonts w:hint="eastAsia"/>
                      <w:b/>
                      <w:bCs/>
                      <w:color w:val="auto"/>
                      <w:szCs w:val="21"/>
                      <w:vertAlign w:val="superscript"/>
                      <w:lang w:val="en-US" w:eastAsia="zh-CN"/>
                    </w:rPr>
                    <w:t>3</w:t>
                  </w:r>
                  <w:r>
                    <w:rPr>
                      <w:rFonts w:hint="eastAsia"/>
                      <w:b/>
                      <w:bCs/>
                      <w:color w:val="auto"/>
                      <w:szCs w:val="21"/>
                      <w:lang w:val="en-US" w:eastAsia="zh-CN"/>
                    </w:rPr>
                    <w:t>/h）</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0C6326FC">
                  <w:pPr>
                    <w:jc w:val="center"/>
                    <w:rPr>
                      <w:rFonts w:hint="eastAsia"/>
                      <w:b w:val="0"/>
                      <w:bCs w:val="0"/>
                      <w:color w:val="auto"/>
                      <w:szCs w:val="21"/>
                    </w:rPr>
                  </w:pPr>
                  <w:r>
                    <w:rPr>
                      <w:rFonts w:hint="eastAsia"/>
                      <w:b w:val="0"/>
                      <w:bCs w:val="0"/>
                      <w:color w:val="auto"/>
                      <w:kern w:val="0"/>
                      <w:szCs w:val="21"/>
                      <w:lang w:val="en-US" w:eastAsia="zh-CN" w:bidi="ar"/>
                    </w:rPr>
                    <w:t>80</w:t>
                  </w:r>
                  <w:r>
                    <w:rPr>
                      <w:rFonts w:hint="eastAsia"/>
                      <w:b w:val="0"/>
                      <w:bCs w:val="0"/>
                      <w:color w:val="auto"/>
                      <w:kern w:val="0"/>
                      <w:szCs w:val="21"/>
                      <w:lang w:eastAsia="zh-CN" w:bidi="ar"/>
                    </w:rPr>
                    <w:t>00</w:t>
                  </w:r>
                  <w:r>
                    <w:rPr>
                      <w:b w:val="0"/>
                      <w:bCs w:val="0"/>
                      <w:color w:val="auto"/>
                      <w:kern w:val="0"/>
                      <w:szCs w:val="21"/>
                      <w:lang w:bidi="ar"/>
                    </w:rPr>
                    <w:t>m</w:t>
                  </w:r>
                  <w:r>
                    <w:rPr>
                      <w:rStyle w:val="110"/>
                      <w:b w:val="0"/>
                      <w:bCs w:val="0"/>
                      <w:color w:val="auto"/>
                      <w:vertAlign w:val="superscript"/>
                      <w:lang w:bidi="ar"/>
                    </w:rPr>
                    <w:t>3</w:t>
                  </w:r>
                  <w:r>
                    <w:rPr>
                      <w:b w:val="0"/>
                      <w:bCs w:val="0"/>
                      <w:color w:val="auto"/>
                      <w:kern w:val="0"/>
                      <w:szCs w:val="21"/>
                      <w:lang w:bidi="ar"/>
                    </w:rPr>
                    <w:t>/h</w:t>
                  </w:r>
                </w:p>
              </w:tc>
            </w:tr>
            <w:tr w14:paraId="6796A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1061DA1F">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0F36454F">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设备尺寸（长×宽×高）</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2B532BF0">
                  <w:pPr>
                    <w:widowControl/>
                    <w:jc w:val="center"/>
                    <w:textAlignment w:val="center"/>
                    <w:rPr>
                      <w:rFonts w:hint="default" w:eastAsia="宋体"/>
                      <w:b w:val="0"/>
                      <w:bCs w:val="0"/>
                      <w:color w:val="auto"/>
                      <w:szCs w:val="21"/>
                      <w:lang w:val="en-US" w:eastAsia="zh-CN"/>
                    </w:rPr>
                  </w:pPr>
                  <w:r>
                    <w:rPr>
                      <w:rFonts w:hint="eastAsia"/>
                      <w:b w:val="0"/>
                      <w:bCs w:val="0"/>
                      <w:color w:val="auto"/>
                      <w:szCs w:val="21"/>
                      <w:lang w:val="en-US" w:eastAsia="zh-CN"/>
                    </w:rPr>
                    <w:t>1600</w:t>
                  </w:r>
                  <w:r>
                    <w:rPr>
                      <w:rFonts w:hint="eastAsia" w:ascii="Times New Roman" w:hAnsi="Times New Roman" w:eastAsia="宋体" w:cs="Times New Roman"/>
                      <w:b w:val="0"/>
                      <w:bCs w:val="0"/>
                      <w:color w:val="auto"/>
                      <w:szCs w:val="21"/>
                      <w:lang w:val="en-US" w:eastAsia="zh-CN"/>
                    </w:rPr>
                    <w:t>×1300×1100</w:t>
                  </w:r>
                </w:p>
              </w:tc>
            </w:tr>
            <w:tr w14:paraId="4CE50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3788FF07">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772550D0">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活性炭尺寸（mm）</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202CC57F">
                  <w:pPr>
                    <w:widowControl/>
                    <w:jc w:val="center"/>
                    <w:textAlignment w:val="center"/>
                    <w:rPr>
                      <w:rFonts w:hint="default"/>
                      <w:b w:val="0"/>
                      <w:bCs w:val="0"/>
                      <w:color w:val="auto"/>
                      <w:szCs w:val="21"/>
                      <w:lang w:val="en-US" w:eastAsia="zh-CN"/>
                    </w:rPr>
                  </w:pPr>
                  <w:r>
                    <w:rPr>
                      <w:rFonts w:hint="eastAsia"/>
                      <w:b w:val="0"/>
                      <w:bCs w:val="0"/>
                      <w:color w:val="auto"/>
                      <w:szCs w:val="21"/>
                      <w:lang w:val="en-US" w:eastAsia="zh-CN"/>
                    </w:rPr>
                    <w:t>1500</w:t>
                  </w:r>
                  <w:r>
                    <w:rPr>
                      <w:rFonts w:hint="eastAsia" w:ascii="Times New Roman" w:hAnsi="Times New Roman" w:eastAsia="宋体" w:cs="Times New Roman"/>
                      <w:b w:val="0"/>
                      <w:bCs w:val="0"/>
                      <w:color w:val="auto"/>
                      <w:szCs w:val="21"/>
                      <w:lang w:val="en-US" w:eastAsia="zh-CN"/>
                    </w:rPr>
                    <w:t>×1200×1000</w:t>
                  </w:r>
                </w:p>
              </w:tc>
            </w:tr>
            <w:tr w14:paraId="30451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00F0F4CF">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056EA063">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活性炭类型</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06124C21">
                  <w:pPr>
                    <w:widowControl/>
                    <w:jc w:val="center"/>
                    <w:textAlignment w:val="center"/>
                    <w:rPr>
                      <w:rFonts w:hint="eastAsia" w:eastAsia="宋体"/>
                      <w:b w:val="0"/>
                      <w:bCs w:val="0"/>
                      <w:color w:val="auto"/>
                      <w:kern w:val="0"/>
                      <w:sz w:val="21"/>
                      <w:szCs w:val="21"/>
                      <w:lang w:val="en-US" w:eastAsia="zh-CN" w:bidi="ar"/>
                    </w:rPr>
                  </w:pPr>
                  <w:r>
                    <w:rPr>
                      <w:rFonts w:hint="eastAsia"/>
                      <w:b w:val="0"/>
                      <w:bCs w:val="0"/>
                      <w:color w:val="auto"/>
                      <w:kern w:val="0"/>
                      <w:szCs w:val="21"/>
                      <w:lang w:val="en-US" w:eastAsia="zh-CN" w:bidi="ar"/>
                    </w:rPr>
                    <w:t>蜂窝</w:t>
                  </w:r>
                </w:p>
              </w:tc>
            </w:tr>
            <w:tr w14:paraId="0E08C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0DDBBEDE">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1DAB54A8">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ρ活性炭密度（kg/m</w:t>
                  </w:r>
                  <w:r>
                    <w:rPr>
                      <w:rFonts w:hint="eastAsia" w:ascii="Times New Roman" w:hAnsi="Times New Roman" w:eastAsia="宋体" w:cs="Times New Roman"/>
                      <w:b/>
                      <w:bCs/>
                      <w:color w:val="auto"/>
                      <w:szCs w:val="21"/>
                      <w:vertAlign w:val="superscript"/>
                      <w:lang w:val="en-US" w:eastAsia="zh-CN"/>
                    </w:rPr>
                    <w:t>3</w:t>
                  </w:r>
                  <w:r>
                    <w:rPr>
                      <w:rFonts w:hint="eastAsia" w:ascii="Times New Roman" w:hAnsi="Times New Roman" w:eastAsia="宋体" w:cs="Times New Roman"/>
                      <w:b/>
                      <w:bCs/>
                      <w:color w:val="auto"/>
                      <w:szCs w:val="21"/>
                      <w:lang w:val="en-US" w:eastAsia="zh-CN"/>
                    </w:rPr>
                    <w:t>）</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5965C5A1">
                  <w:pPr>
                    <w:widowControl/>
                    <w:jc w:val="center"/>
                    <w:textAlignment w:val="center"/>
                    <w:rPr>
                      <w:rFonts w:hint="default" w:eastAsia="宋体"/>
                      <w:b w:val="0"/>
                      <w:bCs w:val="0"/>
                      <w:color w:val="auto"/>
                      <w:kern w:val="0"/>
                      <w:sz w:val="21"/>
                      <w:szCs w:val="21"/>
                      <w:lang w:val="en-US" w:eastAsia="zh-CN" w:bidi="ar"/>
                    </w:rPr>
                  </w:pPr>
                  <w:r>
                    <w:rPr>
                      <w:rFonts w:hint="eastAsia"/>
                      <w:b w:val="0"/>
                      <w:bCs w:val="0"/>
                      <w:color w:val="auto"/>
                      <w:kern w:val="0"/>
                      <w:szCs w:val="21"/>
                      <w:lang w:val="en-US" w:eastAsia="zh-CN" w:bidi="ar"/>
                    </w:rPr>
                    <w:t>350</w:t>
                  </w:r>
                </w:p>
              </w:tc>
            </w:tr>
            <w:tr w14:paraId="344EA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41F0BAA9">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083BEEDF">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V过滤风速（m/s）</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6D0FA6DC">
                  <w:pPr>
                    <w:widowControl/>
                    <w:jc w:val="center"/>
                    <w:textAlignment w:val="center"/>
                    <w:rPr>
                      <w:rFonts w:hint="default" w:eastAsia="宋体"/>
                      <w:b w:val="0"/>
                      <w:bCs w:val="0"/>
                      <w:color w:val="auto"/>
                      <w:kern w:val="0"/>
                      <w:sz w:val="21"/>
                      <w:szCs w:val="21"/>
                      <w:lang w:val="en-US" w:eastAsia="zh-CN" w:bidi="ar"/>
                    </w:rPr>
                  </w:pPr>
                  <w:r>
                    <w:rPr>
                      <w:rFonts w:hint="eastAsia"/>
                      <w:b w:val="0"/>
                      <w:bCs w:val="0"/>
                      <w:color w:val="auto"/>
                      <w:kern w:val="0"/>
                      <w:szCs w:val="21"/>
                      <w:lang w:val="en-US" w:eastAsia="zh-CN" w:bidi="ar"/>
                    </w:rPr>
                    <w:t>0.617</w:t>
                  </w:r>
                </w:p>
              </w:tc>
            </w:tr>
            <w:tr w14:paraId="73F72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6A4B5231">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2C4613CC">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T停留时间（S）</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44660FF7">
                  <w:pPr>
                    <w:widowControl/>
                    <w:jc w:val="center"/>
                    <w:textAlignment w:val="center"/>
                    <w:rPr>
                      <w:rFonts w:hint="default" w:eastAsia="宋体"/>
                      <w:b w:val="0"/>
                      <w:bCs w:val="0"/>
                      <w:color w:val="auto"/>
                      <w:kern w:val="0"/>
                      <w:sz w:val="21"/>
                      <w:szCs w:val="21"/>
                      <w:lang w:val="en-US" w:eastAsia="zh-CN" w:bidi="ar"/>
                    </w:rPr>
                  </w:pPr>
                  <w:r>
                    <w:rPr>
                      <w:rFonts w:hint="eastAsia" w:eastAsia="宋体"/>
                      <w:b w:val="0"/>
                      <w:bCs w:val="0"/>
                      <w:color w:val="auto"/>
                      <w:kern w:val="0"/>
                      <w:szCs w:val="21"/>
                      <w:lang w:val="en-US" w:eastAsia="zh-CN" w:bidi="ar"/>
                    </w:rPr>
                    <w:t>1.62</w:t>
                  </w:r>
                </w:p>
              </w:tc>
            </w:tr>
            <w:tr w14:paraId="1DCE1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6D0C521A">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6F9901B2">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S</w:t>
                  </w:r>
                  <w:r>
                    <w:rPr>
                      <w:rFonts w:hint="eastAsia"/>
                      <w:b/>
                      <w:bCs/>
                      <w:color w:val="auto"/>
                      <w:lang w:val="en-US" w:eastAsia="zh-CN"/>
                    </w:rPr>
                    <w:t>单层</w:t>
                  </w:r>
                  <w:r>
                    <w:rPr>
                      <w:rFonts w:hint="eastAsia" w:ascii="Times New Roman" w:hAnsi="Times New Roman" w:eastAsia="宋体" w:cs="Times New Roman"/>
                      <w:b/>
                      <w:bCs/>
                      <w:color w:val="auto"/>
                      <w:szCs w:val="21"/>
                      <w:lang w:val="en-US" w:eastAsia="zh-CN"/>
                    </w:rPr>
                    <w:t>活性炭过滤面积（m</w:t>
                  </w:r>
                  <w:r>
                    <w:rPr>
                      <w:rFonts w:hint="eastAsia" w:ascii="Times New Roman" w:hAnsi="Times New Roman" w:eastAsia="宋体" w:cs="Times New Roman"/>
                      <w:b/>
                      <w:bCs/>
                      <w:color w:val="auto"/>
                      <w:szCs w:val="21"/>
                      <w:vertAlign w:val="superscript"/>
                      <w:lang w:val="en-US" w:eastAsia="zh-CN"/>
                    </w:rPr>
                    <w:t>3</w:t>
                  </w:r>
                  <w:r>
                    <w:rPr>
                      <w:rFonts w:hint="eastAsia" w:ascii="Times New Roman" w:hAnsi="Times New Roman" w:eastAsia="宋体" w:cs="Times New Roman"/>
                      <w:b/>
                      <w:bCs/>
                      <w:color w:val="auto"/>
                      <w:szCs w:val="21"/>
                      <w:lang w:val="en-US" w:eastAsia="zh-CN"/>
                    </w:rPr>
                    <w:t>）</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43051E02">
                  <w:pPr>
                    <w:widowControl/>
                    <w:jc w:val="center"/>
                    <w:textAlignment w:val="center"/>
                    <w:rPr>
                      <w:rFonts w:hint="default" w:eastAsia="宋体"/>
                      <w:b w:val="0"/>
                      <w:bCs w:val="0"/>
                      <w:color w:val="auto"/>
                      <w:kern w:val="0"/>
                      <w:sz w:val="21"/>
                      <w:szCs w:val="21"/>
                      <w:lang w:val="en-US" w:eastAsia="zh-CN" w:bidi="ar"/>
                    </w:rPr>
                  </w:pPr>
                  <w:r>
                    <w:rPr>
                      <w:rFonts w:hint="eastAsia"/>
                      <w:b w:val="0"/>
                      <w:bCs w:val="0"/>
                      <w:color w:val="auto"/>
                      <w:kern w:val="0"/>
                      <w:szCs w:val="21"/>
                      <w:lang w:val="en-US" w:eastAsia="zh-CN" w:bidi="ar"/>
                    </w:rPr>
                    <w:t>1.7</w:t>
                  </w:r>
                </w:p>
              </w:tc>
            </w:tr>
            <w:tr w14:paraId="0DD3C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03828F27">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41B4F6E3">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n活性炭层数</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77C9291B">
                  <w:pPr>
                    <w:widowControl/>
                    <w:jc w:val="center"/>
                    <w:textAlignment w:val="center"/>
                    <w:rPr>
                      <w:rFonts w:hint="default"/>
                      <w:b w:val="0"/>
                      <w:bCs w:val="0"/>
                      <w:color w:val="auto"/>
                      <w:kern w:val="0"/>
                      <w:sz w:val="21"/>
                      <w:szCs w:val="21"/>
                      <w:lang w:val="en-US" w:eastAsia="zh-CN" w:bidi="ar"/>
                    </w:rPr>
                  </w:pPr>
                  <w:r>
                    <w:rPr>
                      <w:rFonts w:hint="eastAsia"/>
                      <w:b w:val="0"/>
                      <w:bCs w:val="0"/>
                      <w:color w:val="auto"/>
                      <w:kern w:val="0"/>
                      <w:szCs w:val="21"/>
                      <w:lang w:val="en-US" w:eastAsia="zh-CN" w:bidi="ar"/>
                    </w:rPr>
                    <w:t>2</w:t>
                  </w:r>
                </w:p>
              </w:tc>
            </w:tr>
            <w:tr w14:paraId="70CC3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67D35AD8">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5FD30AD4">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活性炭单层厚度（m）</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71CFFCB6">
                  <w:pPr>
                    <w:widowControl/>
                    <w:jc w:val="center"/>
                    <w:textAlignment w:val="center"/>
                    <w:rPr>
                      <w:rFonts w:hint="default" w:eastAsia="宋体"/>
                      <w:b w:val="0"/>
                      <w:bCs w:val="0"/>
                      <w:color w:val="auto"/>
                      <w:kern w:val="0"/>
                      <w:szCs w:val="21"/>
                      <w:lang w:val="en-US" w:eastAsia="zh-CN" w:bidi="ar"/>
                    </w:rPr>
                  </w:pPr>
                  <w:r>
                    <w:rPr>
                      <w:rFonts w:hint="eastAsia"/>
                      <w:b w:val="0"/>
                      <w:bCs w:val="0"/>
                      <w:color w:val="auto"/>
                      <w:kern w:val="0"/>
                      <w:szCs w:val="21"/>
                      <w:lang w:val="en-US" w:eastAsia="zh-CN" w:bidi="ar"/>
                    </w:rPr>
                    <w:t>0.5</w:t>
                  </w:r>
                </w:p>
              </w:tc>
            </w:tr>
            <w:tr w14:paraId="52C69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40985838">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3BCB0DE3">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装载量（吨）</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58ACC4EE">
                  <w:pPr>
                    <w:widowControl/>
                    <w:jc w:val="center"/>
                    <w:textAlignment w:val="center"/>
                    <w:rPr>
                      <w:rFonts w:hint="default" w:eastAsia="宋体"/>
                      <w:b w:val="0"/>
                      <w:bCs w:val="0"/>
                      <w:color w:val="auto"/>
                      <w:kern w:val="0"/>
                      <w:szCs w:val="21"/>
                      <w:lang w:val="en-US" w:eastAsia="zh-CN" w:bidi="ar"/>
                    </w:rPr>
                  </w:pPr>
                  <w:r>
                    <w:rPr>
                      <w:rFonts w:hint="eastAsia"/>
                      <w:color w:val="auto"/>
                      <w:lang w:val="en-US" w:eastAsia="zh-CN"/>
                    </w:rPr>
                    <w:t>0.63</w:t>
                  </w:r>
                </w:p>
              </w:tc>
            </w:tr>
            <w:tr w14:paraId="03B28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50BB549A">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7D9F1E7C">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活性炭级数</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42D107EA">
                  <w:pPr>
                    <w:widowControl/>
                    <w:jc w:val="center"/>
                    <w:textAlignment w:val="center"/>
                    <w:rPr>
                      <w:rFonts w:hint="default" w:eastAsia="宋体"/>
                      <w:b w:val="0"/>
                      <w:bCs w:val="0"/>
                      <w:color w:val="auto"/>
                      <w:kern w:val="0"/>
                      <w:szCs w:val="21"/>
                      <w:lang w:val="en-US" w:eastAsia="zh-CN" w:bidi="ar"/>
                    </w:rPr>
                  </w:pPr>
                  <w:r>
                    <w:rPr>
                      <w:rFonts w:hint="eastAsia"/>
                      <w:b w:val="0"/>
                      <w:bCs w:val="0"/>
                      <w:color w:val="auto"/>
                      <w:kern w:val="0"/>
                      <w:szCs w:val="21"/>
                      <w:lang w:val="en-US" w:eastAsia="zh-CN" w:bidi="ar"/>
                    </w:rPr>
                    <w:t>二级</w:t>
                  </w:r>
                </w:p>
              </w:tc>
            </w:tr>
            <w:tr w14:paraId="7F39B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0CFD3181">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right w:val="single" w:color="auto" w:sz="4" w:space="0"/>
                  </w:tcBorders>
                  <w:noWrap w:val="0"/>
                  <w:vAlign w:val="center"/>
                </w:tcPr>
                <w:p w14:paraId="0119A9F2">
                  <w:pPr>
                    <w:jc w:val="center"/>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二级活性炭装载量（吨）</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79AD5AB6">
                  <w:pPr>
                    <w:widowControl/>
                    <w:jc w:val="center"/>
                    <w:textAlignment w:val="center"/>
                    <w:rPr>
                      <w:rFonts w:hint="default" w:eastAsia="宋体"/>
                      <w:b w:val="0"/>
                      <w:bCs w:val="0"/>
                      <w:color w:val="auto"/>
                      <w:kern w:val="0"/>
                      <w:szCs w:val="21"/>
                      <w:lang w:val="en-US" w:eastAsia="zh-CN" w:bidi="ar"/>
                    </w:rPr>
                  </w:pPr>
                  <w:r>
                    <w:rPr>
                      <w:rFonts w:hint="eastAsia"/>
                      <w:color w:val="auto"/>
                      <w:lang w:val="en-US" w:eastAsia="zh-CN"/>
                    </w:rPr>
                    <w:t>1.26</w:t>
                  </w:r>
                </w:p>
              </w:tc>
            </w:tr>
          </w:tbl>
          <w:p w14:paraId="49978695">
            <w:pPr>
              <w:spacing w:line="360" w:lineRule="auto"/>
              <w:ind w:firstLine="482" w:firstLineChars="200"/>
              <w:rPr>
                <w:b/>
                <w:color w:val="auto"/>
                <w:sz w:val="24"/>
                <w:szCs w:val="20"/>
              </w:rPr>
            </w:pPr>
            <w:r>
              <w:rPr>
                <w:rFonts w:hint="eastAsia"/>
                <w:b/>
                <w:color w:val="auto"/>
                <w:sz w:val="24"/>
                <w:szCs w:val="20"/>
              </w:rPr>
              <w:t>活性炭运行管理要求</w:t>
            </w:r>
            <w:r>
              <w:rPr>
                <w:b/>
                <w:color w:val="auto"/>
                <w:sz w:val="24"/>
                <w:szCs w:val="20"/>
              </w:rPr>
              <w:t>：</w:t>
            </w:r>
          </w:p>
          <w:p w14:paraId="00FDDB55">
            <w:pPr>
              <w:spacing w:line="360" w:lineRule="auto"/>
              <w:ind w:firstLine="482" w:firstLineChars="200"/>
              <w:rPr>
                <w:rFonts w:hint="eastAsia"/>
                <w:b/>
                <w:bCs/>
                <w:color w:val="auto"/>
                <w:sz w:val="24"/>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rPr>
              <w:t>活性炭更换操作</w:t>
            </w:r>
          </w:p>
          <w:p w14:paraId="50F8287B">
            <w:pPr>
              <w:spacing w:line="360" w:lineRule="auto"/>
              <w:ind w:firstLine="480" w:firstLineChars="200"/>
              <w:rPr>
                <w:rFonts w:hint="eastAsia"/>
                <w:color w:val="auto"/>
                <w:sz w:val="24"/>
              </w:rPr>
            </w:pPr>
            <w:r>
              <w:rPr>
                <w:rFonts w:hint="eastAsia"/>
                <w:color w:val="auto"/>
                <w:sz w:val="24"/>
              </w:rPr>
              <w:t>A、活性炭更换前应关闭整套废气处理系统，将系统的压力降为零。必要时应结合活性炭更换对废气收集处理系统进行检修。</w:t>
            </w:r>
          </w:p>
          <w:p w14:paraId="6DC74EAA">
            <w:pPr>
              <w:spacing w:line="360" w:lineRule="auto"/>
              <w:ind w:firstLine="480" w:firstLineChars="200"/>
              <w:rPr>
                <w:rFonts w:hint="eastAsia"/>
                <w:color w:val="auto"/>
                <w:sz w:val="24"/>
              </w:rPr>
            </w:pPr>
            <w:r>
              <w:rPr>
                <w:rFonts w:hint="eastAsia"/>
                <w:color w:val="auto"/>
                <w:sz w:val="24"/>
              </w:rPr>
              <w:t>B、取出活性炭时，观察设备内部是否积水、积尘、破损，活性炭表面是否覆盖粉尘等情况，如有，应尽快对预处理系统进行保养。</w:t>
            </w:r>
          </w:p>
          <w:p w14:paraId="3243D66A">
            <w:pPr>
              <w:spacing w:line="360" w:lineRule="auto"/>
              <w:ind w:firstLine="480" w:firstLineChars="200"/>
              <w:rPr>
                <w:rFonts w:hint="eastAsia"/>
                <w:color w:val="auto"/>
                <w:sz w:val="24"/>
              </w:rPr>
            </w:pPr>
            <w:r>
              <w:rPr>
                <w:rFonts w:hint="eastAsia"/>
                <w:color w:val="auto"/>
                <w:sz w:val="24"/>
              </w:rPr>
              <w:t>C、颗粒活性炭应装填齐整，避免气流短路，蜂窝活性炭应装填紧密，减少空隙活性炭纤维毡与支撑骨架的接触部位应紧密贴合，相邻活性炭纤维毡层之间应紧密贴活性炭纤维毡最外层应采用金属丝网固定。</w:t>
            </w:r>
          </w:p>
          <w:p w14:paraId="22AA2E9C">
            <w:pPr>
              <w:spacing w:line="360" w:lineRule="auto"/>
              <w:ind w:firstLine="480" w:firstLineChars="200"/>
              <w:rPr>
                <w:rFonts w:hint="eastAsia"/>
                <w:color w:val="auto"/>
                <w:sz w:val="24"/>
              </w:rPr>
            </w:pPr>
            <w:r>
              <w:rPr>
                <w:rFonts w:hint="eastAsia"/>
                <w:color w:val="auto"/>
                <w:sz w:val="24"/>
              </w:rPr>
              <w:t>D、活性炭装填完毕后，连接部位必须拧紧，并应进行气密性检查。</w:t>
            </w:r>
          </w:p>
          <w:p w14:paraId="0023F496">
            <w:pPr>
              <w:spacing w:line="360" w:lineRule="auto"/>
              <w:ind w:firstLine="482" w:firstLineChars="200"/>
              <w:rPr>
                <w:rFonts w:hint="eastAsia"/>
                <w:color w:val="auto"/>
                <w:sz w:val="24"/>
              </w:rPr>
            </w:pPr>
            <w:r>
              <w:rPr>
                <w:rFonts w:hint="eastAsia" w:ascii="Times New Roman" w:hAnsi="Times New Roman" w:eastAsia="宋体" w:cs="Times New Roman"/>
                <w:b/>
                <w:bCs/>
                <w:color w:val="auto"/>
                <w:sz w:val="24"/>
                <w:lang w:eastAsia="zh-CN"/>
              </w:rPr>
              <w:t>（2）</w:t>
            </w:r>
            <w:r>
              <w:rPr>
                <w:rFonts w:hint="eastAsia"/>
                <w:color w:val="auto"/>
                <w:sz w:val="24"/>
              </w:rPr>
              <w:t>运行与维护</w:t>
            </w:r>
          </w:p>
          <w:p w14:paraId="34692E24">
            <w:pPr>
              <w:spacing w:line="360" w:lineRule="auto"/>
              <w:ind w:firstLine="480" w:firstLineChars="200"/>
              <w:rPr>
                <w:rFonts w:hint="eastAsia"/>
                <w:color w:val="auto"/>
                <w:sz w:val="24"/>
              </w:rPr>
            </w:pPr>
            <w:r>
              <w:rPr>
                <w:rFonts w:hint="eastAsia"/>
                <w:color w:val="auto"/>
                <w:sz w:val="24"/>
              </w:rPr>
              <w:t>A、强化喷淋水更换过程中沉渣清理，每次更换喷淋废水的应对喷淋塔集水池的淤泥等进行彻底清理。</w:t>
            </w:r>
          </w:p>
          <w:p w14:paraId="53CFCBDD">
            <w:pPr>
              <w:spacing w:line="360" w:lineRule="auto"/>
              <w:ind w:firstLine="480" w:firstLineChars="200"/>
              <w:rPr>
                <w:rFonts w:hint="eastAsia"/>
                <w:color w:val="auto"/>
                <w:sz w:val="24"/>
              </w:rPr>
            </w:pPr>
            <w:r>
              <w:rPr>
                <w:rFonts w:hint="eastAsia"/>
                <w:color w:val="auto"/>
                <w:sz w:val="24"/>
              </w:rPr>
              <w:t>B、做好活性炭吸附装置运行状况、设施维护、活性炭更换记录，建立管理台账，相关记录至少保存三年，现场保留不少于一个月的台账记录。主要记录内容包括:a)活性炭吸附装置的启动、停止时间:b)活性炭的质量分析数据、采购量、使用量、更换量与更换时间。c)活性炭吸附装置运行工艺控制参数，至少包括设备进、出口浓度和吸附装置内温度:d)主要设备维修情况，运行事故及维修情况:</w:t>
            </w:r>
          </w:p>
          <w:p w14:paraId="5715504D">
            <w:pPr>
              <w:spacing w:line="360" w:lineRule="auto"/>
              <w:ind w:firstLine="480" w:firstLineChars="200"/>
              <w:rPr>
                <w:rFonts w:hint="eastAsia"/>
                <w:color w:val="auto"/>
                <w:sz w:val="24"/>
              </w:rPr>
            </w:pPr>
            <w:r>
              <w:rPr>
                <w:rFonts w:hint="eastAsia"/>
                <w:color w:val="auto"/>
                <w:sz w:val="24"/>
              </w:rPr>
              <w:t>C、应当按照监测位置、指标和频次的要求定期对活性炭吸附装置进行自行监测相关记录至少保存三年。</w:t>
            </w:r>
          </w:p>
          <w:p w14:paraId="0770C763">
            <w:pPr>
              <w:spacing w:line="360" w:lineRule="auto"/>
              <w:ind w:firstLine="480" w:firstLineChars="200"/>
              <w:rPr>
                <w:rFonts w:hint="eastAsia"/>
                <w:color w:val="auto"/>
                <w:sz w:val="24"/>
              </w:rPr>
            </w:pPr>
            <w:r>
              <w:rPr>
                <w:rFonts w:hint="eastAsia"/>
                <w:color w:val="auto"/>
                <w:sz w:val="24"/>
              </w:rPr>
              <w:t>D、维护人员应根据计划定期检查、维护和更换必要的部件和材料，保障活性炭在低颗粒物、低含水率条件下使用。</w:t>
            </w:r>
          </w:p>
          <w:p w14:paraId="72DFEE95">
            <w:pPr>
              <w:spacing w:line="360" w:lineRule="auto"/>
              <w:ind w:firstLine="480" w:firstLineChars="200"/>
              <w:rPr>
                <w:rFonts w:hint="eastAsia"/>
                <w:color w:val="auto"/>
                <w:sz w:val="24"/>
              </w:rPr>
            </w:pPr>
            <w:r>
              <w:rPr>
                <w:rFonts w:hint="eastAsia"/>
                <w:color w:val="auto"/>
                <w:sz w:val="24"/>
              </w:rPr>
              <w:t>E、更换下来的活性炭应装入闭口容器或包装物内贮存，并按要按照危险废物有关要求进行管理处置。</w:t>
            </w:r>
          </w:p>
          <w:p w14:paraId="7142B6AF">
            <w:pPr>
              <w:spacing w:line="360" w:lineRule="auto"/>
              <w:ind w:firstLine="480" w:firstLineChars="200"/>
              <w:rPr>
                <w:rFonts w:hint="eastAsia"/>
                <w:color w:val="auto"/>
                <w:sz w:val="24"/>
              </w:rPr>
            </w:pPr>
            <w:r>
              <w:rPr>
                <w:rFonts w:hint="eastAsia"/>
                <w:color w:val="auto"/>
                <w:sz w:val="24"/>
              </w:rPr>
              <w:t>F、操作及维护人员应按照安全操作规程正确使用及维护活性炭吸附装置，并熟悉活性炭吸附装置突发安全事故应对措施，保证装置的安全性。</w:t>
            </w:r>
          </w:p>
          <w:p w14:paraId="09495A78">
            <w:pPr>
              <w:spacing w:line="360" w:lineRule="auto"/>
              <w:ind w:firstLine="482"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大气环境影响分析如下：</w:t>
            </w:r>
          </w:p>
          <w:p w14:paraId="54323E28">
            <w:pPr>
              <w:spacing w:line="360" w:lineRule="auto"/>
              <w:ind w:firstLine="480" w:firstLineChars="200"/>
              <w:rPr>
                <w:color w:val="auto"/>
                <w:sz w:val="24"/>
              </w:rPr>
            </w:pPr>
            <w:r>
              <w:rPr>
                <w:color w:val="auto"/>
                <w:sz w:val="24"/>
              </w:rPr>
              <w:t>为保护区域环境及环境敏感目标的环境空气质量，建设单位拟采取以下大气污染防治措施:</w:t>
            </w:r>
          </w:p>
          <w:p w14:paraId="4D89776C">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①有组织排放污染防治措施</w:t>
            </w:r>
          </w:p>
          <w:p w14:paraId="058542F4">
            <w:pPr>
              <w:spacing w:line="360" w:lineRule="auto"/>
              <w:ind w:firstLine="480" w:firstLineChars="200"/>
              <w:rPr>
                <w:rFonts w:hint="eastAsia" w:ascii="Times New Roman" w:hAnsi="Times New Roman" w:eastAsia="宋体" w:cs="Times New Roman"/>
                <w:color w:val="auto"/>
                <w:sz w:val="24"/>
                <w:szCs w:val="22"/>
                <w:lang w:eastAsia="zh-CN"/>
              </w:rPr>
            </w:pPr>
            <w:r>
              <w:rPr>
                <w:rFonts w:hint="eastAsia" w:ascii="Times New Roman" w:hAnsi="Times New Roman" w:eastAsia="宋体" w:cs="Times New Roman"/>
                <w:color w:val="auto"/>
                <w:sz w:val="24"/>
                <w:szCs w:val="22"/>
                <w:lang w:eastAsia="zh-CN"/>
              </w:rPr>
              <w:t>本项目拟对烘料、注塑工序经</w:t>
            </w:r>
            <w:r>
              <w:rPr>
                <w:rFonts w:hint="eastAsia" w:ascii="Times New Roman" w:hAnsi="Times New Roman" w:eastAsia="宋体" w:cs="Times New Roman"/>
                <w:color w:val="auto"/>
                <w:sz w:val="24"/>
                <w:szCs w:val="22"/>
                <w:lang w:val="en-US" w:eastAsia="zh-CN"/>
              </w:rPr>
              <w:t>集气罩</w:t>
            </w:r>
            <w:r>
              <w:rPr>
                <w:rFonts w:hint="eastAsia" w:ascii="Times New Roman" w:hAnsi="Times New Roman" w:eastAsia="宋体" w:cs="Times New Roman"/>
                <w:color w:val="auto"/>
                <w:sz w:val="24"/>
                <w:szCs w:val="22"/>
                <w:lang w:eastAsia="zh-CN"/>
              </w:rPr>
              <w:t>收集后经“二级活性炭吸附装置”处理后由一根</w:t>
            </w:r>
            <w:r>
              <w:rPr>
                <w:rFonts w:hint="eastAsia" w:ascii="Times New Roman" w:hAnsi="Times New Roman" w:eastAsia="宋体" w:cs="Times New Roman"/>
                <w:color w:val="auto"/>
                <w:sz w:val="24"/>
                <w:szCs w:val="22"/>
                <w:lang w:val="en-US" w:eastAsia="zh-CN"/>
              </w:rPr>
              <w:t>40</w:t>
            </w:r>
            <w:r>
              <w:rPr>
                <w:rFonts w:hint="eastAsia" w:ascii="Times New Roman" w:hAnsi="Times New Roman" w:eastAsia="宋体" w:cs="Times New Roman"/>
                <w:color w:val="auto"/>
                <w:sz w:val="24"/>
                <w:szCs w:val="22"/>
                <w:lang w:eastAsia="zh-CN"/>
              </w:rPr>
              <w:t>m高排气筒（G1）有组织排放。经处理后所排放的非甲烷总烃、</w:t>
            </w:r>
            <w:r>
              <w:rPr>
                <w:rFonts w:hint="eastAsia" w:ascii="Times New Roman" w:hAnsi="Times New Roman" w:eastAsia="宋体" w:cs="Times New Roman"/>
                <w:color w:val="auto"/>
                <w:sz w:val="24"/>
                <w:szCs w:val="22"/>
                <w:lang w:val="en-US" w:eastAsia="zh-CN"/>
              </w:rPr>
              <w:t>二氯甲烷、酚类、氨</w:t>
            </w:r>
            <w:r>
              <w:rPr>
                <w:rFonts w:hint="eastAsia" w:ascii="Times New Roman" w:hAnsi="Times New Roman" w:eastAsia="宋体" w:cs="Times New Roman"/>
                <w:color w:val="auto"/>
                <w:sz w:val="24"/>
                <w:szCs w:val="22"/>
                <w:lang w:eastAsia="zh-CN"/>
              </w:rPr>
              <w:t>有组织达到《合成树脂工业污染物排放标准》（GB31572-2015，含2024年修改单）表4大气污染物排放限值；臭气浓度达到《恶臭污染物排放标准》（GB14554-93）表2恶臭污染物排放标准值。</w:t>
            </w:r>
          </w:p>
          <w:p w14:paraId="27B87CDE">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②无组织排放废气污染防治措施</w:t>
            </w:r>
          </w:p>
          <w:p w14:paraId="7486E1B3">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未被收集的废气经过加强车间通风，无组织排放。非甲烷总烃</w:t>
            </w:r>
            <w:r>
              <w:rPr>
                <w:rFonts w:hint="eastAsia" w:cs="Times New Roman"/>
                <w:color w:val="auto"/>
                <w:sz w:val="24"/>
                <w:highlight w:val="none"/>
                <w:lang w:val="en-US" w:eastAsia="zh-CN"/>
              </w:rPr>
              <w:t>、颗粒物</w:t>
            </w:r>
            <w:r>
              <w:rPr>
                <w:rFonts w:hint="eastAsia" w:ascii="Times New Roman" w:hAnsi="Times New Roman" w:eastAsia="宋体" w:cs="Times New Roman"/>
                <w:color w:val="auto"/>
                <w:sz w:val="24"/>
                <w:highlight w:val="none"/>
                <w:lang w:val="en-US" w:eastAsia="zh-CN"/>
              </w:rPr>
              <w:t>无组织排放满足《合成树脂工业污染物排放标准》（GB31572-2015）表9企业边界大气污染物浓度限值和广东省地方标准《大气污染物排放限值》(DB44/27－2001)（第二时段）无组织排放监控浓度限值较严值；</w:t>
            </w:r>
            <w:r>
              <w:rPr>
                <w:rFonts w:hint="eastAsia" w:cs="Times New Roman"/>
                <w:color w:val="auto"/>
                <w:sz w:val="24"/>
                <w:highlight w:val="none"/>
                <w:lang w:val="en-US" w:eastAsia="zh-CN"/>
              </w:rPr>
              <w:t>氨、</w:t>
            </w:r>
            <w:r>
              <w:rPr>
                <w:rFonts w:hint="eastAsia" w:ascii="Times New Roman" w:hAnsi="Times New Roman" w:eastAsia="宋体" w:cs="Times New Roman"/>
                <w:color w:val="auto"/>
                <w:sz w:val="24"/>
                <w:highlight w:val="none"/>
                <w:lang w:val="en-US" w:eastAsia="zh-CN"/>
              </w:rPr>
              <w:t>臭气浓度无组织排放满足《恶臭污染物排放标准》（GB14554-93）中表1无组织排放标准；厂区内非甲烷总烃的排放满足广东省地方标准《固定污染源挥发性有机物综合排放标准》（DB44/2367—2022）中表3厂区内VOCs无组织排放限值</w:t>
            </w:r>
          </w:p>
          <w:p w14:paraId="30A6DD09">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③项目废气对环境现状的影响分析</w:t>
            </w:r>
          </w:p>
          <w:p w14:paraId="49E5CF82">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距离项目最近敏感点为</w:t>
            </w:r>
            <w:r>
              <w:rPr>
                <w:rFonts w:hint="eastAsia" w:cs="Times New Roman"/>
                <w:color w:val="auto"/>
                <w:sz w:val="24"/>
                <w:highlight w:val="none"/>
                <w:lang w:val="en-US" w:eastAsia="zh-CN"/>
              </w:rPr>
              <w:t>西北</w:t>
            </w:r>
            <w:r>
              <w:rPr>
                <w:rFonts w:hint="eastAsia" w:ascii="Times New Roman" w:hAnsi="Times New Roman" w:eastAsia="宋体" w:cs="Times New Roman"/>
                <w:color w:val="auto"/>
                <w:sz w:val="24"/>
                <w:highlight w:val="none"/>
                <w:lang w:val="en-US" w:eastAsia="zh-CN"/>
              </w:rPr>
              <w:t>面的</w:t>
            </w:r>
            <w:r>
              <w:rPr>
                <w:rFonts w:hint="eastAsia" w:cs="Times New Roman"/>
                <w:color w:val="auto"/>
                <w:sz w:val="24"/>
                <w:highlight w:val="none"/>
                <w:lang w:val="en-US" w:eastAsia="zh-CN"/>
              </w:rPr>
              <w:t>居民公寓</w:t>
            </w:r>
            <w:r>
              <w:rPr>
                <w:rFonts w:hint="eastAsia" w:ascii="Times New Roman" w:hAnsi="Times New Roman" w:eastAsia="宋体" w:cs="Times New Roman"/>
                <w:color w:val="auto"/>
                <w:sz w:val="24"/>
                <w:highlight w:val="none"/>
                <w:lang w:val="en-US" w:eastAsia="zh-CN"/>
              </w:rPr>
              <w:t>约</w:t>
            </w:r>
            <w:r>
              <w:rPr>
                <w:rFonts w:hint="eastAsia" w:cs="Times New Roman"/>
                <w:color w:val="auto"/>
                <w:sz w:val="24"/>
                <w:highlight w:val="none"/>
                <w:lang w:val="en-US" w:eastAsia="zh-CN"/>
              </w:rPr>
              <w:t>30</w:t>
            </w:r>
            <w:r>
              <w:rPr>
                <w:rFonts w:hint="eastAsia" w:ascii="Times New Roman" w:hAnsi="Times New Roman" w:eastAsia="宋体" w:cs="Times New Roman"/>
                <w:color w:val="auto"/>
                <w:sz w:val="24"/>
                <w:highlight w:val="none"/>
                <w:lang w:val="en-US" w:eastAsia="zh-CN"/>
              </w:rPr>
              <w:t>米。项目废气均能达标排放，项目所在区域环境空气质量现状良好，项目废气经过之后排放，对周围环境影响不大。</w:t>
            </w:r>
          </w:p>
          <w:p w14:paraId="4C7D3BB9">
            <w:pPr>
              <w:pStyle w:val="46"/>
              <w:spacing w:before="0" w:line="360" w:lineRule="auto"/>
              <w:ind w:left="0" w:firstLine="482" w:firstLineChars="200"/>
              <w:rPr>
                <w:b/>
                <w:color w:val="auto"/>
                <w:highlight w:val="none"/>
              </w:rPr>
            </w:pPr>
            <w:r>
              <w:rPr>
                <w:b/>
                <w:color w:val="auto"/>
                <w:highlight w:val="none"/>
              </w:rPr>
              <w:t>（2）大气环境监测计划</w:t>
            </w:r>
          </w:p>
          <w:p w14:paraId="6B1FAD2D">
            <w:pPr>
              <w:pStyle w:val="46"/>
              <w:spacing w:before="0" w:line="360" w:lineRule="auto"/>
              <w:ind w:left="0" w:firstLine="482" w:firstLineChars="200"/>
              <w:rPr>
                <w:b/>
                <w:color w:val="auto"/>
                <w:highlight w:val="none"/>
              </w:rPr>
            </w:pPr>
            <w:r>
              <w:rPr>
                <w:b/>
                <w:color w:val="auto"/>
                <w:highlight w:val="none"/>
              </w:rPr>
              <w:t>①污染源监测计划</w:t>
            </w:r>
          </w:p>
          <w:p w14:paraId="73B0F74C">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根据《排污单位自行监测技术指南总则》（HJ 819-2017）、《排污许可证申请与核发技术规范总则》（HJ 942-2018）</w:t>
            </w:r>
            <w:r>
              <w:rPr>
                <w:rFonts w:hint="default" w:ascii="Times New Roman" w:hAnsi="Times New Roman" w:cs="Times New Roman"/>
                <w:color w:val="000000"/>
                <w:sz w:val="24"/>
                <w:highlight w:val="none"/>
                <w:lang w:eastAsia="zh-CN"/>
              </w:rPr>
              <w:t>、《排污许可证申请与核发技术规范 橡胶和塑料制品工业》（HJ1122-2020）、《排污单位自行监测技术指南橡胶和塑料制品》（HJ 1207—2021）</w:t>
            </w:r>
            <w:r>
              <w:rPr>
                <w:rFonts w:hint="default" w:ascii="Times New Roman" w:hAnsi="Times New Roman" w:cs="Times New Roman"/>
                <w:color w:val="000000"/>
                <w:sz w:val="24"/>
                <w:highlight w:val="none"/>
              </w:rPr>
              <w:t>，本项目污染源监测计划见下表。</w:t>
            </w:r>
          </w:p>
          <w:p w14:paraId="5789903C">
            <w:pPr>
              <w:pStyle w:val="95"/>
              <w:spacing w:before="120"/>
              <w:ind w:left="0"/>
              <w:rPr>
                <w:b/>
                <w:bCs/>
                <w:color w:val="auto"/>
                <w:sz w:val="21"/>
                <w:szCs w:val="21"/>
                <w:highlight w:val="none"/>
              </w:rPr>
            </w:pPr>
            <w:r>
              <w:rPr>
                <w:b/>
                <w:bCs/>
                <w:color w:val="auto"/>
                <w:sz w:val="21"/>
                <w:szCs w:val="21"/>
                <w:highlight w:val="none"/>
              </w:rPr>
              <w:t>有组织废气监测方案</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44"/>
              <w:gridCol w:w="1340"/>
              <w:gridCol w:w="1261"/>
              <w:gridCol w:w="5097"/>
            </w:tblGrid>
            <w:tr w14:paraId="67B6C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rPr>
              <w:tc>
                <w:tcPr>
                  <w:tcW w:w="1144" w:type="dxa"/>
                  <w:tcBorders>
                    <w:top w:val="single" w:color="auto" w:sz="4" w:space="0"/>
                    <w:left w:val="single" w:color="auto" w:sz="4" w:space="0"/>
                    <w:bottom w:val="single" w:color="auto" w:sz="4" w:space="0"/>
                    <w:right w:val="single" w:color="auto" w:sz="4" w:space="0"/>
                  </w:tcBorders>
                  <w:shd w:val="clear" w:color="auto" w:fill="auto"/>
                  <w:vAlign w:val="center"/>
                </w:tcPr>
                <w:p w14:paraId="5E7E0A77">
                  <w:pPr>
                    <w:jc w:val="center"/>
                    <w:rPr>
                      <w:b/>
                      <w:color w:val="auto"/>
                      <w:szCs w:val="21"/>
                      <w:highlight w:val="none"/>
                    </w:rPr>
                  </w:pPr>
                  <w:r>
                    <w:rPr>
                      <w:b/>
                      <w:color w:val="auto"/>
                      <w:szCs w:val="21"/>
                      <w:highlight w:val="none"/>
                      <w:lang w:bidi="en-AU"/>
                    </w:rPr>
                    <w:t>监测点位</w:t>
                  </w: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14:paraId="2DA11E05">
                  <w:pPr>
                    <w:jc w:val="center"/>
                    <w:rPr>
                      <w:b/>
                      <w:color w:val="auto"/>
                      <w:szCs w:val="21"/>
                      <w:highlight w:val="none"/>
                    </w:rPr>
                  </w:pPr>
                  <w:r>
                    <w:rPr>
                      <w:b/>
                      <w:color w:val="auto"/>
                      <w:szCs w:val="21"/>
                      <w:highlight w:val="none"/>
                      <w:lang w:bidi="en-AU"/>
                    </w:rPr>
                    <w:t>监测指标</w:t>
                  </w:r>
                </w:p>
              </w:tc>
              <w:tc>
                <w:tcPr>
                  <w:tcW w:w="1261" w:type="dxa"/>
                  <w:tcBorders>
                    <w:top w:val="single" w:color="auto" w:sz="4" w:space="0"/>
                    <w:left w:val="single" w:color="auto" w:sz="4" w:space="0"/>
                    <w:bottom w:val="single" w:color="auto" w:sz="4" w:space="0"/>
                    <w:right w:val="single" w:color="auto" w:sz="4" w:space="0"/>
                  </w:tcBorders>
                  <w:shd w:val="clear" w:color="auto" w:fill="auto"/>
                  <w:vAlign w:val="center"/>
                </w:tcPr>
                <w:p w14:paraId="41F49A5A">
                  <w:pPr>
                    <w:jc w:val="center"/>
                    <w:rPr>
                      <w:b/>
                      <w:color w:val="auto"/>
                      <w:szCs w:val="21"/>
                      <w:highlight w:val="none"/>
                    </w:rPr>
                  </w:pPr>
                  <w:r>
                    <w:rPr>
                      <w:b/>
                      <w:color w:val="auto"/>
                      <w:szCs w:val="21"/>
                      <w:highlight w:val="none"/>
                      <w:lang w:bidi="en-AU"/>
                    </w:rPr>
                    <w:t>监测频次</w:t>
                  </w:r>
                </w:p>
              </w:tc>
              <w:tc>
                <w:tcPr>
                  <w:tcW w:w="5097" w:type="dxa"/>
                  <w:tcBorders>
                    <w:top w:val="single" w:color="auto" w:sz="4" w:space="0"/>
                    <w:left w:val="single" w:color="auto" w:sz="4" w:space="0"/>
                    <w:bottom w:val="single" w:color="auto" w:sz="4" w:space="0"/>
                    <w:right w:val="single" w:color="auto" w:sz="4" w:space="0"/>
                  </w:tcBorders>
                  <w:shd w:val="clear" w:color="auto" w:fill="auto"/>
                  <w:vAlign w:val="center"/>
                </w:tcPr>
                <w:p w14:paraId="7A442FD0">
                  <w:pPr>
                    <w:jc w:val="center"/>
                    <w:rPr>
                      <w:b/>
                      <w:color w:val="auto"/>
                      <w:szCs w:val="21"/>
                      <w:highlight w:val="none"/>
                    </w:rPr>
                  </w:pPr>
                  <w:r>
                    <w:rPr>
                      <w:b/>
                      <w:color w:val="auto"/>
                      <w:szCs w:val="21"/>
                      <w:highlight w:val="none"/>
                      <w:lang w:bidi="en-AU"/>
                    </w:rPr>
                    <w:t>执行排放标准</w:t>
                  </w:r>
                </w:p>
              </w:tc>
            </w:tr>
            <w:tr w14:paraId="73F77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4" w:type="dxa"/>
                  <w:vMerge w:val="restart"/>
                  <w:tcBorders>
                    <w:top w:val="single" w:color="auto" w:sz="4" w:space="0"/>
                    <w:left w:val="single" w:color="auto" w:sz="4" w:space="0"/>
                    <w:right w:val="single" w:color="auto" w:sz="4" w:space="0"/>
                  </w:tcBorders>
                  <w:shd w:val="clear" w:color="auto" w:fill="auto"/>
                  <w:vAlign w:val="center"/>
                </w:tcPr>
                <w:p w14:paraId="7EC0A65F">
                  <w:pPr>
                    <w:snapToGrid w:val="0"/>
                    <w:jc w:val="center"/>
                    <w:rPr>
                      <w:bCs/>
                      <w:color w:val="auto"/>
                      <w:szCs w:val="21"/>
                      <w:highlight w:val="none"/>
                    </w:rPr>
                  </w:pPr>
                  <w:r>
                    <w:rPr>
                      <w:color w:val="auto"/>
                      <w:kern w:val="0"/>
                      <w:szCs w:val="21"/>
                      <w:highlight w:val="none"/>
                      <w:lang w:bidi="en-AU"/>
                    </w:rPr>
                    <w:t>G1</w:t>
                  </w: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14:paraId="639B71BC">
                  <w:pPr>
                    <w:pStyle w:val="105"/>
                    <w:keepNext w:val="0"/>
                    <w:keepLines w:val="0"/>
                    <w:suppressLineNumbers w:val="0"/>
                    <w:spacing w:before="0" w:beforeAutospacing="0" w:after="0" w:afterAutospacing="0"/>
                    <w:ind w:left="0" w:leftChars="0" w:right="0" w:rightChars="0"/>
                    <w:rPr>
                      <w:rFonts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sz w:val="21"/>
                      <w:szCs w:val="21"/>
                      <w:highlight w:val="none"/>
                      <w:lang w:val="en-US" w:eastAsia="zh-CN"/>
                    </w:rPr>
                    <w:t>非甲烷总烃</w:t>
                  </w:r>
                </w:p>
              </w:tc>
              <w:tc>
                <w:tcPr>
                  <w:tcW w:w="1261" w:type="dxa"/>
                  <w:tcBorders>
                    <w:top w:val="single" w:color="auto" w:sz="4" w:space="0"/>
                    <w:left w:val="single" w:color="auto" w:sz="4" w:space="0"/>
                    <w:right w:val="single" w:color="auto" w:sz="4" w:space="0"/>
                  </w:tcBorders>
                  <w:shd w:val="clear" w:color="auto" w:fill="auto"/>
                  <w:vAlign w:val="center"/>
                </w:tcPr>
                <w:p w14:paraId="371515ED">
                  <w:pPr>
                    <w:jc w:val="center"/>
                    <w:rPr>
                      <w:rFonts w:hint="eastAsia" w:ascii="Times New Roman" w:hAnsi="Times New Roman" w:eastAsia="宋体" w:cs="Times New Roman"/>
                      <w:bCs/>
                      <w:color w:val="auto"/>
                      <w:kern w:val="2"/>
                      <w:sz w:val="21"/>
                      <w:szCs w:val="21"/>
                      <w:highlight w:val="none"/>
                      <w:lang w:val="en-US" w:eastAsia="zh-CN" w:bidi="ar-SA"/>
                    </w:rPr>
                  </w:pPr>
                  <w:r>
                    <w:rPr>
                      <w:bCs/>
                      <w:color w:val="auto"/>
                      <w:szCs w:val="21"/>
                      <w:highlight w:val="none"/>
                    </w:rPr>
                    <w:t>1次/年</w:t>
                  </w:r>
                </w:p>
              </w:tc>
              <w:tc>
                <w:tcPr>
                  <w:tcW w:w="5097" w:type="dxa"/>
                  <w:vMerge w:val="restart"/>
                  <w:tcBorders>
                    <w:top w:val="single" w:color="auto" w:sz="4" w:space="0"/>
                    <w:left w:val="single" w:color="auto" w:sz="4" w:space="0"/>
                    <w:right w:val="single" w:color="auto" w:sz="4" w:space="0"/>
                  </w:tcBorders>
                  <w:shd w:val="clear" w:color="auto" w:fill="auto"/>
                  <w:vAlign w:val="center"/>
                </w:tcPr>
                <w:p w14:paraId="3BFA38BE">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000000"/>
                      <w:highlight w:val="none"/>
                    </w:rPr>
                    <w:t>《合成树脂工业污染物排放标准》（GB31572-2015，含2024年修改单）表4大气污染物排放限值</w:t>
                  </w:r>
                </w:p>
              </w:tc>
            </w:tr>
            <w:tr w14:paraId="408A4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4" w:type="dxa"/>
                  <w:vMerge w:val="continue"/>
                  <w:tcBorders>
                    <w:left w:val="single" w:color="auto" w:sz="4" w:space="0"/>
                    <w:right w:val="single" w:color="auto" w:sz="4" w:space="0"/>
                  </w:tcBorders>
                  <w:shd w:val="clear" w:color="auto" w:fill="auto"/>
                  <w:vAlign w:val="center"/>
                </w:tcPr>
                <w:p w14:paraId="2BB38A95">
                  <w:pPr>
                    <w:snapToGrid w:val="0"/>
                    <w:jc w:val="center"/>
                    <w:rPr>
                      <w:color w:val="auto"/>
                      <w:kern w:val="0"/>
                      <w:szCs w:val="21"/>
                      <w:highlight w:val="none"/>
                      <w:lang w:bidi="en-AU"/>
                    </w:rPr>
                  </w:pP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14:paraId="2C5BAFBF">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二氯甲烷</w:t>
                  </w:r>
                </w:p>
              </w:tc>
              <w:tc>
                <w:tcPr>
                  <w:tcW w:w="1261" w:type="dxa"/>
                  <w:tcBorders>
                    <w:top w:val="single" w:color="auto" w:sz="4" w:space="0"/>
                    <w:left w:val="single" w:color="auto" w:sz="4" w:space="0"/>
                    <w:right w:val="single" w:color="auto" w:sz="4" w:space="0"/>
                  </w:tcBorders>
                  <w:shd w:val="clear" w:color="auto" w:fill="auto"/>
                  <w:vAlign w:val="center"/>
                </w:tcPr>
                <w:p w14:paraId="019F715E">
                  <w:pPr>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1次/年</w:t>
                  </w:r>
                </w:p>
              </w:tc>
              <w:tc>
                <w:tcPr>
                  <w:tcW w:w="5097" w:type="dxa"/>
                  <w:vMerge w:val="continue"/>
                  <w:tcBorders>
                    <w:left w:val="single" w:color="auto" w:sz="4" w:space="0"/>
                    <w:right w:val="single" w:color="auto" w:sz="4" w:space="0"/>
                  </w:tcBorders>
                  <w:shd w:val="clear" w:color="auto" w:fill="auto"/>
                  <w:vAlign w:val="center"/>
                </w:tcPr>
                <w:p w14:paraId="4B52611D">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p>
              </w:tc>
            </w:tr>
            <w:tr w14:paraId="2F45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4" w:type="dxa"/>
                  <w:vMerge w:val="continue"/>
                  <w:tcBorders>
                    <w:left w:val="single" w:color="auto" w:sz="4" w:space="0"/>
                    <w:right w:val="single" w:color="auto" w:sz="4" w:space="0"/>
                  </w:tcBorders>
                  <w:shd w:val="clear" w:color="auto" w:fill="auto"/>
                  <w:vAlign w:val="center"/>
                </w:tcPr>
                <w:p w14:paraId="47396F0E">
                  <w:pPr>
                    <w:snapToGrid w:val="0"/>
                    <w:jc w:val="center"/>
                    <w:rPr>
                      <w:color w:val="auto"/>
                      <w:kern w:val="0"/>
                      <w:szCs w:val="21"/>
                      <w:highlight w:val="none"/>
                      <w:lang w:bidi="en-AU"/>
                    </w:rPr>
                  </w:pP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14:paraId="1860B957">
                  <w:pPr>
                    <w:pStyle w:val="105"/>
                    <w:keepNext w:val="0"/>
                    <w:keepLines w:val="0"/>
                    <w:suppressLineNumbers w:val="0"/>
                    <w:spacing w:before="0" w:beforeAutospacing="0" w:after="0" w:afterAutospacing="0"/>
                    <w:ind w:left="0" w:leftChars="0" w:right="0" w:rightChars="0"/>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1261" w:type="dxa"/>
                  <w:tcBorders>
                    <w:top w:val="single" w:color="auto" w:sz="4" w:space="0"/>
                    <w:left w:val="single" w:color="auto" w:sz="4" w:space="0"/>
                    <w:right w:val="single" w:color="auto" w:sz="4" w:space="0"/>
                  </w:tcBorders>
                  <w:shd w:val="clear" w:color="auto" w:fill="auto"/>
                  <w:vAlign w:val="center"/>
                </w:tcPr>
                <w:p w14:paraId="7C6CF9F1">
                  <w:pPr>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1次/年</w:t>
                  </w:r>
                </w:p>
              </w:tc>
              <w:tc>
                <w:tcPr>
                  <w:tcW w:w="5097" w:type="dxa"/>
                  <w:vMerge w:val="continue"/>
                  <w:tcBorders>
                    <w:left w:val="single" w:color="auto" w:sz="4" w:space="0"/>
                    <w:right w:val="single" w:color="auto" w:sz="4" w:space="0"/>
                  </w:tcBorders>
                  <w:shd w:val="clear" w:color="auto" w:fill="auto"/>
                  <w:vAlign w:val="center"/>
                </w:tcPr>
                <w:p w14:paraId="22229D11">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p>
              </w:tc>
            </w:tr>
            <w:tr w14:paraId="10E4F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144" w:type="dxa"/>
                  <w:vMerge w:val="continue"/>
                  <w:tcBorders>
                    <w:left w:val="single" w:color="auto" w:sz="4" w:space="0"/>
                    <w:right w:val="single" w:color="auto" w:sz="4" w:space="0"/>
                  </w:tcBorders>
                  <w:shd w:val="clear" w:color="auto" w:fill="auto"/>
                  <w:vAlign w:val="center"/>
                </w:tcPr>
                <w:p w14:paraId="5F92DF4E">
                  <w:pPr>
                    <w:snapToGrid w:val="0"/>
                    <w:jc w:val="center"/>
                    <w:rPr>
                      <w:color w:val="auto"/>
                      <w:szCs w:val="21"/>
                      <w:highlight w:val="none"/>
                    </w:rPr>
                  </w:pP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14:paraId="6941771D">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0"/>
                      <w:sz w:val="21"/>
                      <w:szCs w:val="21"/>
                      <w:highlight w:val="none"/>
                      <w:lang w:val="en-US" w:eastAsia="zh-CN" w:bidi="en-AU"/>
                    </w:rPr>
                  </w:pPr>
                  <w:r>
                    <w:rPr>
                      <w:rFonts w:hint="eastAsia" w:cs="Times New Roman"/>
                      <w:color w:val="auto"/>
                      <w:kern w:val="0"/>
                      <w:sz w:val="21"/>
                      <w:szCs w:val="21"/>
                      <w:highlight w:val="none"/>
                      <w:lang w:val="en-US" w:eastAsia="zh-CN" w:bidi="en-AU"/>
                    </w:rPr>
                    <w:t>酚类</w:t>
                  </w:r>
                </w:p>
              </w:tc>
              <w:tc>
                <w:tcPr>
                  <w:tcW w:w="1261" w:type="dxa"/>
                  <w:tcBorders>
                    <w:left w:val="single" w:color="auto" w:sz="4" w:space="0"/>
                    <w:right w:val="single" w:color="auto" w:sz="4" w:space="0"/>
                  </w:tcBorders>
                  <w:shd w:val="clear" w:color="auto" w:fill="auto"/>
                  <w:vAlign w:val="center"/>
                </w:tcPr>
                <w:p w14:paraId="5D7C433E">
                  <w:pPr>
                    <w:jc w:val="center"/>
                    <w:rPr>
                      <w:rFonts w:ascii="Times New Roman" w:hAnsi="Times New Roman" w:eastAsia="宋体" w:cs="Times New Roman"/>
                      <w:bCs/>
                      <w:color w:val="auto"/>
                      <w:kern w:val="2"/>
                      <w:sz w:val="21"/>
                      <w:szCs w:val="21"/>
                      <w:highlight w:val="none"/>
                      <w:lang w:val="en-US" w:eastAsia="zh-CN" w:bidi="en-AU"/>
                    </w:rPr>
                  </w:pPr>
                  <w:r>
                    <w:rPr>
                      <w:bCs/>
                      <w:color w:val="auto"/>
                      <w:szCs w:val="21"/>
                      <w:highlight w:val="none"/>
                    </w:rPr>
                    <w:t>1次/年</w:t>
                  </w:r>
                </w:p>
              </w:tc>
              <w:tc>
                <w:tcPr>
                  <w:tcW w:w="5097" w:type="dxa"/>
                  <w:vMerge w:val="continue"/>
                  <w:tcBorders>
                    <w:left w:val="single" w:color="auto" w:sz="4" w:space="0"/>
                    <w:right w:val="single" w:color="auto" w:sz="4" w:space="0"/>
                  </w:tcBorders>
                  <w:shd w:val="clear" w:color="auto" w:fill="auto"/>
                  <w:vAlign w:val="center"/>
                </w:tcPr>
                <w:p w14:paraId="3439C6B2">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p>
              </w:tc>
            </w:tr>
            <w:tr w14:paraId="36DCE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144" w:type="dxa"/>
                  <w:vMerge w:val="continue"/>
                  <w:tcBorders>
                    <w:left w:val="single" w:color="auto" w:sz="4" w:space="0"/>
                    <w:right w:val="single" w:color="auto" w:sz="4" w:space="0"/>
                  </w:tcBorders>
                  <w:shd w:val="clear" w:color="auto" w:fill="auto"/>
                  <w:vAlign w:val="center"/>
                </w:tcPr>
                <w:p w14:paraId="6DD8EF20">
                  <w:pPr>
                    <w:snapToGrid w:val="0"/>
                    <w:jc w:val="center"/>
                    <w:rPr>
                      <w:color w:val="auto"/>
                      <w:szCs w:val="21"/>
                      <w:highlight w:val="none"/>
                    </w:rPr>
                  </w:pP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14:paraId="28526B8E">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0"/>
                      <w:sz w:val="21"/>
                      <w:szCs w:val="21"/>
                      <w:highlight w:val="none"/>
                      <w:lang w:val="en-US" w:eastAsia="zh-CN" w:bidi="en-AU"/>
                    </w:rPr>
                  </w:pPr>
                  <w:r>
                    <w:rPr>
                      <w:rFonts w:hint="eastAsia" w:ascii="Times New Roman" w:hAnsi="Times New Roman" w:eastAsia="宋体" w:cs="Times New Roman"/>
                      <w:color w:val="auto"/>
                      <w:sz w:val="21"/>
                      <w:szCs w:val="21"/>
                      <w:highlight w:val="none"/>
                      <w:lang w:val="en-US" w:eastAsia="zh-CN"/>
                    </w:rPr>
                    <w:t>臭气浓度</w:t>
                  </w:r>
                </w:p>
              </w:tc>
              <w:tc>
                <w:tcPr>
                  <w:tcW w:w="1261" w:type="dxa"/>
                  <w:tcBorders>
                    <w:left w:val="single" w:color="auto" w:sz="4" w:space="0"/>
                    <w:right w:val="single" w:color="auto" w:sz="4" w:space="0"/>
                  </w:tcBorders>
                  <w:shd w:val="clear" w:color="auto" w:fill="auto"/>
                  <w:vAlign w:val="center"/>
                </w:tcPr>
                <w:p w14:paraId="16C8FFEB">
                  <w:pPr>
                    <w:jc w:val="center"/>
                    <w:rPr>
                      <w:rFonts w:ascii="Times New Roman" w:hAnsi="Times New Roman" w:eastAsia="宋体" w:cs="Times New Roman"/>
                      <w:bCs/>
                      <w:color w:val="auto"/>
                      <w:kern w:val="2"/>
                      <w:sz w:val="21"/>
                      <w:szCs w:val="21"/>
                      <w:highlight w:val="none"/>
                      <w:lang w:val="en-US" w:eastAsia="zh-CN" w:bidi="en-AU"/>
                    </w:rPr>
                  </w:pPr>
                  <w:r>
                    <w:rPr>
                      <w:bCs/>
                      <w:color w:val="auto"/>
                      <w:szCs w:val="21"/>
                      <w:highlight w:val="none"/>
                    </w:rPr>
                    <w:t>1次/年</w:t>
                  </w:r>
                </w:p>
              </w:tc>
              <w:tc>
                <w:tcPr>
                  <w:tcW w:w="5097" w:type="dxa"/>
                  <w:tcBorders>
                    <w:left w:val="single" w:color="auto" w:sz="4" w:space="0"/>
                    <w:right w:val="single" w:color="auto" w:sz="4" w:space="0"/>
                  </w:tcBorders>
                  <w:shd w:val="clear" w:color="auto" w:fill="auto"/>
                  <w:vAlign w:val="center"/>
                </w:tcPr>
                <w:p w14:paraId="2128D79D">
                  <w:pPr>
                    <w:pStyle w:val="105"/>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cs="Times New Roman"/>
                      <w:color w:val="auto"/>
                      <w:sz w:val="21"/>
                      <w:szCs w:val="21"/>
                      <w:highlight w:val="none"/>
                    </w:rPr>
                    <w:t>《恶臭污染物排放标准》（GB14554-93）表2排放标准</w:t>
                  </w:r>
                </w:p>
              </w:tc>
            </w:tr>
          </w:tbl>
          <w:p w14:paraId="4F251FD3">
            <w:pPr>
              <w:pStyle w:val="95"/>
              <w:spacing w:before="120"/>
              <w:ind w:left="0"/>
              <w:rPr>
                <w:b/>
                <w:bCs/>
                <w:color w:val="auto"/>
                <w:sz w:val="21"/>
                <w:szCs w:val="21"/>
                <w:highlight w:val="none"/>
              </w:rPr>
            </w:pPr>
            <w:r>
              <w:rPr>
                <w:b/>
                <w:bCs/>
                <w:color w:val="auto"/>
                <w:sz w:val="21"/>
                <w:szCs w:val="21"/>
                <w:highlight w:val="none"/>
              </w:rPr>
              <w:t>无组织废气监测计划表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15"/>
              <w:gridCol w:w="1300"/>
              <w:gridCol w:w="1307"/>
              <w:gridCol w:w="5020"/>
            </w:tblGrid>
            <w:tr w14:paraId="65D5F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397" w:hRule="atLeast"/>
              </w:trPr>
              <w:tc>
                <w:tcPr>
                  <w:tcW w:w="687" w:type="pct"/>
                  <w:tcBorders>
                    <w:top w:val="single" w:color="auto" w:sz="4" w:space="0"/>
                    <w:left w:val="single" w:color="auto" w:sz="4" w:space="0"/>
                    <w:bottom w:val="single" w:color="auto" w:sz="4" w:space="0"/>
                    <w:right w:val="single" w:color="auto" w:sz="4" w:space="0"/>
                  </w:tcBorders>
                  <w:shd w:val="clear" w:color="auto" w:fill="auto"/>
                  <w:vAlign w:val="center"/>
                </w:tcPr>
                <w:p w14:paraId="2D75E043">
                  <w:pPr>
                    <w:jc w:val="center"/>
                    <w:rPr>
                      <w:b/>
                      <w:color w:val="auto"/>
                      <w:szCs w:val="21"/>
                      <w:highlight w:val="none"/>
                    </w:rPr>
                  </w:pPr>
                  <w:r>
                    <w:rPr>
                      <w:b/>
                      <w:color w:val="auto"/>
                      <w:szCs w:val="21"/>
                      <w:highlight w:val="none"/>
                      <w:lang w:bidi="en-AU"/>
                    </w:rPr>
                    <w:t>监测点位</w:t>
                  </w:r>
                </w:p>
              </w:tc>
              <w:tc>
                <w:tcPr>
                  <w:tcW w:w="735" w:type="pct"/>
                  <w:tcBorders>
                    <w:top w:val="single" w:color="auto" w:sz="4" w:space="0"/>
                    <w:left w:val="single" w:color="auto" w:sz="4" w:space="0"/>
                    <w:bottom w:val="single" w:color="auto" w:sz="4" w:space="0"/>
                    <w:right w:val="single" w:color="auto" w:sz="4" w:space="0"/>
                  </w:tcBorders>
                  <w:shd w:val="clear" w:color="auto" w:fill="auto"/>
                  <w:vAlign w:val="center"/>
                </w:tcPr>
                <w:p w14:paraId="27387C9B">
                  <w:pPr>
                    <w:jc w:val="center"/>
                    <w:rPr>
                      <w:b/>
                      <w:color w:val="auto"/>
                      <w:szCs w:val="21"/>
                      <w:highlight w:val="none"/>
                    </w:rPr>
                  </w:pPr>
                  <w:r>
                    <w:rPr>
                      <w:b/>
                      <w:color w:val="auto"/>
                      <w:szCs w:val="21"/>
                      <w:highlight w:val="none"/>
                      <w:lang w:bidi="en-AU"/>
                    </w:rPr>
                    <w:t>监测指标</w:t>
                  </w:r>
                </w:p>
              </w:tc>
              <w:tc>
                <w:tcPr>
                  <w:tcW w:w="739" w:type="pct"/>
                  <w:tcBorders>
                    <w:top w:val="single" w:color="auto" w:sz="4" w:space="0"/>
                    <w:left w:val="single" w:color="auto" w:sz="4" w:space="0"/>
                    <w:bottom w:val="single" w:color="auto" w:sz="4" w:space="0"/>
                    <w:right w:val="single" w:color="auto" w:sz="4" w:space="0"/>
                  </w:tcBorders>
                  <w:shd w:val="clear" w:color="auto" w:fill="auto"/>
                  <w:vAlign w:val="center"/>
                </w:tcPr>
                <w:p w14:paraId="0F009A23">
                  <w:pPr>
                    <w:jc w:val="center"/>
                    <w:rPr>
                      <w:b/>
                      <w:color w:val="auto"/>
                      <w:szCs w:val="21"/>
                      <w:highlight w:val="none"/>
                    </w:rPr>
                  </w:pPr>
                  <w:r>
                    <w:rPr>
                      <w:b/>
                      <w:color w:val="auto"/>
                      <w:szCs w:val="21"/>
                      <w:highlight w:val="none"/>
                      <w:lang w:bidi="en-AU"/>
                    </w:rPr>
                    <w:t>监测频次</w:t>
                  </w:r>
                </w:p>
              </w:tc>
              <w:tc>
                <w:tcPr>
                  <w:tcW w:w="2838" w:type="pct"/>
                  <w:tcBorders>
                    <w:top w:val="single" w:color="auto" w:sz="4" w:space="0"/>
                    <w:left w:val="single" w:color="auto" w:sz="4" w:space="0"/>
                    <w:bottom w:val="single" w:color="auto" w:sz="4" w:space="0"/>
                    <w:right w:val="single" w:color="auto" w:sz="4" w:space="0"/>
                  </w:tcBorders>
                  <w:shd w:val="clear" w:color="auto" w:fill="auto"/>
                  <w:vAlign w:val="center"/>
                </w:tcPr>
                <w:p w14:paraId="3DFC13F2">
                  <w:pPr>
                    <w:jc w:val="center"/>
                    <w:rPr>
                      <w:b/>
                      <w:color w:val="auto"/>
                      <w:szCs w:val="21"/>
                      <w:highlight w:val="none"/>
                    </w:rPr>
                  </w:pPr>
                  <w:r>
                    <w:rPr>
                      <w:b/>
                      <w:color w:val="auto"/>
                      <w:szCs w:val="21"/>
                      <w:highlight w:val="none"/>
                      <w:lang w:bidi="en-AU"/>
                    </w:rPr>
                    <w:t>执行排放标准</w:t>
                  </w:r>
                </w:p>
              </w:tc>
            </w:tr>
            <w:tr w14:paraId="43AD4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vMerge w:val="restart"/>
                  <w:tcBorders>
                    <w:top w:val="single" w:color="auto" w:sz="4" w:space="0"/>
                    <w:left w:val="single" w:color="auto" w:sz="4" w:space="0"/>
                    <w:right w:val="single" w:color="auto" w:sz="4" w:space="0"/>
                  </w:tcBorders>
                  <w:shd w:val="clear" w:color="auto" w:fill="auto"/>
                  <w:vAlign w:val="center"/>
                </w:tcPr>
                <w:p w14:paraId="64993F6F">
                  <w:pPr>
                    <w:jc w:val="center"/>
                    <w:rPr>
                      <w:color w:val="auto"/>
                      <w:sz w:val="20"/>
                      <w:szCs w:val="20"/>
                      <w:highlight w:val="none"/>
                    </w:rPr>
                  </w:pPr>
                  <w:r>
                    <w:rPr>
                      <w:color w:val="auto"/>
                      <w:szCs w:val="21"/>
                      <w:highlight w:val="none"/>
                      <w:lang w:bidi="en-AU"/>
                    </w:rPr>
                    <w:t>厂界</w:t>
                  </w:r>
                </w:p>
              </w:tc>
              <w:tc>
                <w:tcPr>
                  <w:tcW w:w="735" w:type="pct"/>
                  <w:tcBorders>
                    <w:top w:val="single" w:color="auto" w:sz="4" w:space="0"/>
                    <w:left w:val="single" w:color="auto" w:sz="4" w:space="0"/>
                    <w:bottom w:val="single" w:color="auto" w:sz="4" w:space="0"/>
                    <w:right w:val="single" w:color="auto" w:sz="4" w:space="0"/>
                  </w:tcBorders>
                  <w:shd w:val="clear" w:color="auto" w:fill="auto"/>
                  <w:vAlign w:val="center"/>
                </w:tcPr>
                <w:p w14:paraId="69E2A7C4">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sz w:val="21"/>
                      <w:szCs w:val="21"/>
                      <w:highlight w:val="none"/>
                      <w:lang w:val="en-US" w:eastAsia="zh-CN"/>
                    </w:rPr>
                    <w:t>非甲烷总烃</w:t>
                  </w:r>
                </w:p>
              </w:tc>
              <w:tc>
                <w:tcPr>
                  <w:tcW w:w="739" w:type="pct"/>
                  <w:tcBorders>
                    <w:top w:val="single" w:color="auto" w:sz="4" w:space="0"/>
                    <w:left w:val="single" w:color="auto" w:sz="4" w:space="0"/>
                    <w:right w:val="single" w:color="auto" w:sz="4" w:space="0"/>
                  </w:tcBorders>
                  <w:shd w:val="clear" w:color="auto" w:fill="auto"/>
                  <w:vAlign w:val="center"/>
                </w:tcPr>
                <w:p w14:paraId="2251D7B9">
                  <w:pPr>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1次/年</w:t>
                  </w:r>
                </w:p>
              </w:tc>
              <w:tc>
                <w:tcPr>
                  <w:tcW w:w="2838" w:type="pct"/>
                  <w:vMerge w:val="restart"/>
                  <w:tcBorders>
                    <w:top w:val="single" w:color="auto" w:sz="4" w:space="0"/>
                    <w:left w:val="single" w:color="auto" w:sz="4" w:space="0"/>
                    <w:right w:val="single" w:color="auto" w:sz="4" w:space="0"/>
                  </w:tcBorders>
                  <w:shd w:val="clear" w:color="auto" w:fill="auto"/>
                  <w:vAlign w:val="center"/>
                </w:tcPr>
                <w:p w14:paraId="5DEA019D">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color w:val="auto"/>
                    </w:rPr>
                    <w:t>《合成树脂工业污染物排放标准》（GB31572-2015）表9企业边界大气污染物浓度限值和广东省地方标准《大气污染物排放限值》(DB44/27－2001)（第二时段）无组织排放监控浓度限值较严值</w:t>
                  </w:r>
                </w:p>
              </w:tc>
            </w:tr>
            <w:tr w14:paraId="332A3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vMerge w:val="continue"/>
                  <w:tcBorders>
                    <w:left w:val="single" w:color="auto" w:sz="4" w:space="0"/>
                    <w:right w:val="single" w:color="auto" w:sz="4" w:space="0"/>
                  </w:tcBorders>
                  <w:shd w:val="clear" w:color="auto" w:fill="auto"/>
                  <w:vAlign w:val="center"/>
                </w:tcPr>
                <w:p w14:paraId="3EC8D43E">
                  <w:pPr>
                    <w:jc w:val="center"/>
                    <w:rPr>
                      <w:color w:val="auto"/>
                      <w:szCs w:val="21"/>
                      <w:highlight w:val="none"/>
                      <w:lang w:bidi="en-AU"/>
                    </w:rPr>
                  </w:pPr>
                </w:p>
              </w:tc>
              <w:tc>
                <w:tcPr>
                  <w:tcW w:w="735" w:type="pct"/>
                  <w:tcBorders>
                    <w:top w:val="single" w:color="auto" w:sz="4" w:space="0"/>
                    <w:left w:val="single" w:color="auto" w:sz="4" w:space="0"/>
                    <w:bottom w:val="single" w:color="auto" w:sz="4" w:space="0"/>
                    <w:right w:val="single" w:color="auto" w:sz="4" w:space="0"/>
                  </w:tcBorders>
                  <w:shd w:val="clear" w:color="auto" w:fill="auto"/>
                  <w:vAlign w:val="center"/>
                </w:tcPr>
                <w:p w14:paraId="36929C67">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颗粒物</w:t>
                  </w:r>
                </w:p>
              </w:tc>
              <w:tc>
                <w:tcPr>
                  <w:tcW w:w="739" w:type="pct"/>
                  <w:tcBorders>
                    <w:top w:val="single" w:color="auto" w:sz="4" w:space="0"/>
                    <w:left w:val="single" w:color="auto" w:sz="4" w:space="0"/>
                    <w:right w:val="single" w:color="auto" w:sz="4" w:space="0"/>
                  </w:tcBorders>
                  <w:shd w:val="clear" w:color="auto" w:fill="auto"/>
                  <w:vAlign w:val="center"/>
                </w:tcPr>
                <w:p w14:paraId="249B4FFC">
                  <w:pPr>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1次/年</w:t>
                  </w:r>
                </w:p>
              </w:tc>
              <w:tc>
                <w:tcPr>
                  <w:tcW w:w="2838" w:type="pct"/>
                  <w:vMerge w:val="continue"/>
                  <w:tcBorders>
                    <w:left w:val="single" w:color="auto" w:sz="4" w:space="0"/>
                    <w:right w:val="single" w:color="auto" w:sz="4" w:space="0"/>
                  </w:tcBorders>
                  <w:shd w:val="clear" w:color="auto" w:fill="auto"/>
                  <w:vAlign w:val="center"/>
                </w:tcPr>
                <w:p w14:paraId="2F8D7027">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p>
              </w:tc>
            </w:tr>
            <w:tr w14:paraId="07B4A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vMerge w:val="continue"/>
                  <w:tcBorders>
                    <w:left w:val="single" w:color="auto" w:sz="4" w:space="0"/>
                    <w:right w:val="single" w:color="auto" w:sz="4" w:space="0"/>
                  </w:tcBorders>
                  <w:shd w:val="clear" w:color="auto" w:fill="auto"/>
                  <w:vAlign w:val="center"/>
                </w:tcPr>
                <w:p w14:paraId="0659456A">
                  <w:pPr>
                    <w:jc w:val="center"/>
                    <w:rPr>
                      <w:color w:val="auto"/>
                      <w:szCs w:val="21"/>
                      <w:highlight w:val="none"/>
                      <w:lang w:bidi="en-AU"/>
                    </w:rPr>
                  </w:pPr>
                </w:p>
              </w:tc>
              <w:tc>
                <w:tcPr>
                  <w:tcW w:w="735" w:type="pct"/>
                  <w:tcBorders>
                    <w:top w:val="single" w:color="auto" w:sz="4" w:space="0"/>
                    <w:left w:val="single" w:color="auto" w:sz="4" w:space="0"/>
                    <w:bottom w:val="single" w:color="auto" w:sz="4" w:space="0"/>
                    <w:right w:val="single" w:color="auto" w:sz="4" w:space="0"/>
                  </w:tcBorders>
                  <w:shd w:val="clear" w:color="auto" w:fill="auto"/>
                  <w:vAlign w:val="center"/>
                </w:tcPr>
                <w:p w14:paraId="3A0C9C72">
                  <w:pPr>
                    <w:pStyle w:val="105"/>
                    <w:keepNext w:val="0"/>
                    <w:keepLines w:val="0"/>
                    <w:suppressLineNumbers w:val="0"/>
                    <w:spacing w:before="0" w:beforeAutospacing="0" w:after="0" w:afterAutospacing="0"/>
                    <w:ind w:left="0" w:leftChars="0" w:right="0" w:right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739" w:type="pct"/>
                  <w:tcBorders>
                    <w:top w:val="single" w:color="auto" w:sz="4" w:space="0"/>
                    <w:left w:val="single" w:color="auto" w:sz="4" w:space="0"/>
                    <w:right w:val="single" w:color="auto" w:sz="4" w:space="0"/>
                  </w:tcBorders>
                  <w:shd w:val="clear" w:color="auto" w:fill="auto"/>
                  <w:vAlign w:val="center"/>
                </w:tcPr>
                <w:p w14:paraId="76EA8453">
                  <w:pPr>
                    <w:jc w:val="center"/>
                    <w:rPr>
                      <w:bCs/>
                      <w:color w:val="auto"/>
                      <w:szCs w:val="21"/>
                      <w:highlight w:val="none"/>
                    </w:rPr>
                  </w:pPr>
                  <w:r>
                    <w:rPr>
                      <w:bCs/>
                      <w:color w:val="auto"/>
                      <w:szCs w:val="21"/>
                      <w:highlight w:val="none"/>
                    </w:rPr>
                    <w:t>1次/年</w:t>
                  </w:r>
                </w:p>
              </w:tc>
              <w:tc>
                <w:tcPr>
                  <w:tcW w:w="2838" w:type="pct"/>
                  <w:vMerge w:val="restart"/>
                  <w:tcBorders>
                    <w:left w:val="single" w:color="auto" w:sz="4" w:space="0"/>
                    <w:right w:val="single" w:color="auto" w:sz="4" w:space="0"/>
                  </w:tcBorders>
                  <w:shd w:val="clear" w:color="auto" w:fill="auto"/>
                  <w:vAlign w:val="center"/>
                </w:tcPr>
                <w:p w14:paraId="4292B2FA">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sz w:val="21"/>
                      <w:szCs w:val="21"/>
                      <w:highlight w:val="none"/>
                      <w:lang w:val="en-US"/>
                    </w:rPr>
                    <w:t>《恶臭污染物排放标准》（GB14554-93）中表1无组织排放标准</w:t>
                  </w:r>
                </w:p>
              </w:tc>
            </w:tr>
            <w:tr w14:paraId="4E6EA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vMerge w:val="continue"/>
                  <w:tcBorders>
                    <w:left w:val="single" w:color="auto" w:sz="4" w:space="0"/>
                    <w:right w:val="single" w:color="auto" w:sz="4" w:space="0"/>
                  </w:tcBorders>
                  <w:shd w:val="clear" w:color="auto" w:fill="auto"/>
                  <w:vAlign w:val="center"/>
                </w:tcPr>
                <w:p w14:paraId="29BC475C">
                  <w:pPr>
                    <w:jc w:val="center"/>
                    <w:rPr>
                      <w:color w:val="auto"/>
                      <w:szCs w:val="21"/>
                      <w:highlight w:val="none"/>
                      <w:lang w:bidi="en-AU"/>
                    </w:rPr>
                  </w:pPr>
                </w:p>
              </w:tc>
              <w:tc>
                <w:tcPr>
                  <w:tcW w:w="735" w:type="pct"/>
                  <w:tcBorders>
                    <w:top w:val="single" w:color="auto" w:sz="4" w:space="0"/>
                    <w:left w:val="single" w:color="auto" w:sz="4" w:space="0"/>
                    <w:bottom w:val="single" w:color="auto" w:sz="4" w:space="0"/>
                    <w:right w:val="single" w:color="auto" w:sz="4" w:space="0"/>
                  </w:tcBorders>
                  <w:shd w:val="clear" w:color="auto" w:fill="auto"/>
                  <w:vAlign w:val="center"/>
                </w:tcPr>
                <w:p w14:paraId="45AE99DA">
                  <w:pPr>
                    <w:pStyle w:val="105"/>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rPr>
                    <w:t>臭气浓度</w:t>
                  </w:r>
                </w:p>
              </w:tc>
              <w:tc>
                <w:tcPr>
                  <w:tcW w:w="739" w:type="pct"/>
                  <w:tcBorders>
                    <w:left w:val="single" w:color="auto" w:sz="4" w:space="0"/>
                    <w:right w:val="single" w:color="auto" w:sz="4" w:space="0"/>
                  </w:tcBorders>
                  <w:shd w:val="clear" w:color="auto" w:fill="auto"/>
                  <w:vAlign w:val="center"/>
                </w:tcPr>
                <w:p w14:paraId="22340FF6">
                  <w:pPr>
                    <w:jc w:val="center"/>
                    <w:rPr>
                      <w:rFonts w:ascii="Times New Roman" w:hAnsi="Times New Roman" w:eastAsia="宋体" w:cs="Times New Roman"/>
                      <w:bCs/>
                      <w:color w:val="auto"/>
                      <w:kern w:val="2"/>
                      <w:sz w:val="21"/>
                      <w:szCs w:val="21"/>
                      <w:highlight w:val="none"/>
                      <w:lang w:val="en-US" w:eastAsia="zh-CN" w:bidi="ar-SA"/>
                    </w:rPr>
                  </w:pPr>
                  <w:r>
                    <w:rPr>
                      <w:bCs/>
                      <w:color w:val="auto"/>
                      <w:szCs w:val="21"/>
                      <w:highlight w:val="none"/>
                    </w:rPr>
                    <w:t>1次/年</w:t>
                  </w:r>
                </w:p>
              </w:tc>
              <w:tc>
                <w:tcPr>
                  <w:tcW w:w="2838" w:type="pct"/>
                  <w:vMerge w:val="continue"/>
                  <w:tcBorders>
                    <w:left w:val="single" w:color="auto" w:sz="4" w:space="0"/>
                    <w:right w:val="single" w:color="auto" w:sz="4" w:space="0"/>
                  </w:tcBorders>
                  <w:shd w:val="clear" w:color="auto" w:fill="auto"/>
                  <w:vAlign w:val="center"/>
                </w:tcPr>
                <w:p w14:paraId="0B2AA0B6">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p>
              </w:tc>
            </w:tr>
            <w:tr w14:paraId="433A0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left w:val="single" w:color="auto" w:sz="4" w:space="0"/>
                    <w:right w:val="single" w:color="auto" w:sz="4" w:space="0"/>
                  </w:tcBorders>
                  <w:shd w:val="clear" w:color="auto" w:fill="auto"/>
                  <w:vAlign w:val="center"/>
                </w:tcPr>
                <w:p w14:paraId="0798BA55">
                  <w:pPr>
                    <w:jc w:val="center"/>
                    <w:rPr>
                      <w:color w:val="auto"/>
                      <w:szCs w:val="21"/>
                      <w:highlight w:val="none"/>
                      <w:lang w:bidi="en-AU"/>
                    </w:rPr>
                  </w:pPr>
                  <w:r>
                    <w:rPr>
                      <w:rFonts w:hint="eastAsia"/>
                      <w:color w:val="auto"/>
                      <w:szCs w:val="21"/>
                      <w:highlight w:val="none"/>
                      <w:lang w:bidi="en-AU"/>
                    </w:rPr>
                    <w:t>厂区内</w:t>
                  </w:r>
                </w:p>
              </w:tc>
              <w:tc>
                <w:tcPr>
                  <w:tcW w:w="735" w:type="pct"/>
                  <w:tcBorders>
                    <w:top w:val="single" w:color="auto" w:sz="4" w:space="0"/>
                    <w:left w:val="single" w:color="auto" w:sz="4" w:space="0"/>
                    <w:bottom w:val="single" w:color="auto" w:sz="4" w:space="0"/>
                    <w:right w:val="single" w:color="auto" w:sz="4" w:space="0"/>
                  </w:tcBorders>
                  <w:shd w:val="clear" w:color="auto" w:fill="auto"/>
                  <w:vAlign w:val="center"/>
                </w:tcPr>
                <w:p w14:paraId="44C93002">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非甲烷总烃</w:t>
                  </w:r>
                </w:p>
              </w:tc>
              <w:tc>
                <w:tcPr>
                  <w:tcW w:w="739" w:type="pct"/>
                  <w:tcBorders>
                    <w:top w:val="single" w:color="auto" w:sz="4" w:space="0"/>
                    <w:left w:val="single" w:color="auto" w:sz="4" w:space="0"/>
                    <w:bottom w:val="single" w:color="auto" w:sz="4" w:space="0"/>
                    <w:right w:val="single" w:color="auto" w:sz="4" w:space="0"/>
                  </w:tcBorders>
                  <w:shd w:val="clear" w:color="auto" w:fill="auto"/>
                  <w:vAlign w:val="center"/>
                </w:tcPr>
                <w:p w14:paraId="02396885">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1次/年</w:t>
                  </w:r>
                </w:p>
              </w:tc>
              <w:tc>
                <w:tcPr>
                  <w:tcW w:w="2838" w:type="pct"/>
                  <w:tcBorders>
                    <w:top w:val="single" w:color="auto" w:sz="4" w:space="0"/>
                    <w:left w:val="single" w:color="auto" w:sz="4" w:space="0"/>
                    <w:bottom w:val="single" w:color="auto" w:sz="4" w:space="0"/>
                    <w:right w:val="single" w:color="auto" w:sz="4" w:space="0"/>
                  </w:tcBorders>
                  <w:shd w:val="clear" w:color="auto" w:fill="auto"/>
                  <w:vAlign w:val="center"/>
                </w:tcPr>
                <w:p w14:paraId="0AF491FB">
                  <w:pPr>
                    <w:jc w:val="center"/>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highlight w:val="none"/>
                    </w:rPr>
                    <w:t>广东省地方标准《固定污染源挥发性有机物综合排放标准》（DB44/2367—2022）中表3厂区内VOCs无组织排放限值</w:t>
                  </w:r>
                </w:p>
              </w:tc>
            </w:tr>
          </w:tbl>
          <w:p w14:paraId="65F87C9E">
            <w:pPr>
              <w:snapToGrid w:val="0"/>
              <w:spacing w:line="360" w:lineRule="auto"/>
              <w:ind w:firstLine="470" w:firstLineChars="196"/>
              <w:rPr>
                <w:b/>
                <w:color w:val="auto"/>
                <w:sz w:val="24"/>
                <w:highlight w:val="none"/>
              </w:rPr>
            </w:pPr>
            <w:r>
              <w:rPr>
                <w:color w:val="auto"/>
                <w:sz w:val="24"/>
                <w:highlight w:val="none"/>
              </w:rPr>
              <w:t>综上所述，外排</w:t>
            </w:r>
            <w:r>
              <w:rPr>
                <w:rFonts w:hint="eastAsia"/>
                <w:color w:val="auto"/>
                <w:sz w:val="24"/>
                <w:highlight w:val="none"/>
              </w:rPr>
              <w:t>废气</w:t>
            </w:r>
            <w:r>
              <w:rPr>
                <w:color w:val="auto"/>
                <w:sz w:val="24"/>
                <w:highlight w:val="none"/>
              </w:rPr>
              <w:t>对周围环境影响不大。</w:t>
            </w:r>
          </w:p>
          <w:p w14:paraId="3B5DBC6F">
            <w:pPr>
              <w:spacing w:before="120" w:beforeLines="50" w:line="360" w:lineRule="auto"/>
              <w:ind w:firstLine="482" w:firstLineChars="200"/>
              <w:rPr>
                <w:b/>
                <w:bCs/>
                <w:color w:val="auto"/>
                <w:sz w:val="24"/>
                <w:highlight w:val="none"/>
              </w:rPr>
            </w:pPr>
            <w:r>
              <w:rPr>
                <w:rFonts w:hint="eastAsia"/>
                <w:b/>
                <w:bCs/>
                <w:color w:val="auto"/>
                <w:sz w:val="24"/>
                <w:highlight w:val="none"/>
              </w:rPr>
              <w:t>三、</w:t>
            </w:r>
            <w:r>
              <w:rPr>
                <w:b/>
                <w:bCs/>
                <w:color w:val="auto"/>
                <w:sz w:val="24"/>
                <w:highlight w:val="none"/>
              </w:rPr>
              <w:t>噪声</w:t>
            </w:r>
            <w:r>
              <w:rPr>
                <w:rFonts w:hint="eastAsia"/>
                <w:b/>
                <w:bCs/>
                <w:color w:val="auto"/>
                <w:sz w:val="24"/>
                <w:highlight w:val="none"/>
              </w:rPr>
              <w:t>环境影响分析</w:t>
            </w:r>
          </w:p>
          <w:p w14:paraId="4DD1A00D">
            <w:pPr>
              <w:pStyle w:val="12"/>
              <w:spacing w:before="0" w:line="360" w:lineRule="auto"/>
              <w:ind w:left="0" w:firstLine="480" w:firstLineChars="200"/>
              <w:jc w:val="both"/>
              <w:rPr>
                <w:rFonts w:hint="default" w:ascii="Times New Roman" w:hAnsi="Times New Roman" w:eastAsia="宋体" w:cs="Times New Roman"/>
                <w:color w:val="000000"/>
                <w:kern w:val="2"/>
                <w:sz w:val="24"/>
                <w:szCs w:val="24"/>
                <w:highlight w:val="none"/>
                <w:lang w:val="en-US" w:eastAsia="zh-CN" w:bidi="ar-SA"/>
              </w:rPr>
            </w:pPr>
            <w:r>
              <w:rPr>
                <w:rFonts w:hint="default" w:ascii="Times New Roman" w:hAnsi="Times New Roman" w:eastAsia="宋体" w:cs="Times New Roman"/>
                <w:color w:val="000000"/>
                <w:kern w:val="2"/>
                <w:sz w:val="24"/>
                <w:szCs w:val="24"/>
                <w:highlight w:val="none"/>
                <w:lang w:val="en-US" w:eastAsia="zh-CN" w:bidi="ar-SA"/>
              </w:rPr>
              <w:t>项目噪声源主要是生产设备运行时产生的噪声，</w:t>
            </w:r>
            <w:r>
              <w:rPr>
                <w:rFonts w:hint="default" w:ascii="Times New Roman" w:hAnsi="Times New Roman" w:cs="Times New Roman"/>
                <w:color w:val="000000"/>
                <w:kern w:val="2"/>
                <w:sz w:val="24"/>
                <w:szCs w:val="24"/>
                <w:highlight w:val="none"/>
                <w:lang w:val="en-US" w:eastAsia="zh-CN" w:bidi="ar-SA"/>
              </w:rPr>
              <w:t>注塑机、混料机、破碎机、空压机</w:t>
            </w:r>
            <w:r>
              <w:rPr>
                <w:rFonts w:hint="default" w:ascii="Times New Roman" w:hAnsi="Times New Roman" w:eastAsia="宋体" w:cs="Times New Roman"/>
                <w:color w:val="000000"/>
                <w:kern w:val="2"/>
                <w:sz w:val="24"/>
                <w:szCs w:val="24"/>
                <w:highlight w:val="none"/>
                <w:lang w:val="en-US" w:eastAsia="zh-CN" w:bidi="ar-SA"/>
              </w:rPr>
              <w:t>设备</w:t>
            </w:r>
            <w:r>
              <w:rPr>
                <w:rFonts w:hint="default" w:ascii="Times New Roman" w:hAnsi="Times New Roman" w:cs="Times New Roman"/>
                <w:color w:val="000000"/>
                <w:kern w:val="2"/>
                <w:sz w:val="24"/>
                <w:szCs w:val="24"/>
                <w:highlight w:val="none"/>
                <w:lang w:val="en-US" w:eastAsia="zh-CN" w:bidi="ar-SA"/>
              </w:rPr>
              <w:t>等</w:t>
            </w:r>
            <w:r>
              <w:rPr>
                <w:rFonts w:hint="default" w:ascii="Times New Roman" w:hAnsi="Times New Roman" w:eastAsia="宋体" w:cs="Times New Roman"/>
                <w:color w:val="000000"/>
                <w:kern w:val="2"/>
                <w:sz w:val="24"/>
                <w:szCs w:val="24"/>
                <w:highlight w:val="none"/>
                <w:lang w:val="en-US" w:eastAsia="zh-CN" w:bidi="ar-SA"/>
              </w:rPr>
              <w:t>噪声源强为65~</w:t>
            </w:r>
            <w:r>
              <w:rPr>
                <w:rFonts w:hint="default" w:ascii="Times New Roman" w:hAnsi="Times New Roman" w:cs="Times New Roman"/>
                <w:color w:val="000000"/>
                <w:kern w:val="2"/>
                <w:sz w:val="24"/>
                <w:szCs w:val="24"/>
                <w:highlight w:val="none"/>
                <w:lang w:val="en-US" w:eastAsia="zh-CN" w:bidi="ar-SA"/>
              </w:rPr>
              <w:t>85</w:t>
            </w:r>
            <w:r>
              <w:rPr>
                <w:rFonts w:hint="default" w:ascii="Times New Roman" w:hAnsi="Times New Roman" w:eastAsia="宋体" w:cs="Times New Roman"/>
                <w:color w:val="000000"/>
                <w:kern w:val="2"/>
                <w:sz w:val="24"/>
                <w:szCs w:val="24"/>
                <w:highlight w:val="none"/>
                <w:lang w:val="en-US" w:eastAsia="zh-CN" w:bidi="ar-SA"/>
              </w:rPr>
              <w:t>dB（A）</w:t>
            </w:r>
            <w:r>
              <w:rPr>
                <w:rFonts w:hint="default" w:ascii="Times New Roman" w:hAnsi="Times New Roman" w:cs="Times New Roman"/>
                <w:color w:val="000000"/>
                <w:kern w:val="2"/>
                <w:sz w:val="24"/>
                <w:szCs w:val="24"/>
                <w:highlight w:val="none"/>
                <w:lang w:val="en-US" w:eastAsia="zh-CN" w:bidi="ar-SA"/>
              </w:rPr>
              <w:t>，</w:t>
            </w:r>
            <w:r>
              <w:rPr>
                <w:rFonts w:hint="eastAsia" w:cs="Times New Roman"/>
                <w:color w:val="000000"/>
                <w:kern w:val="2"/>
                <w:sz w:val="24"/>
                <w:szCs w:val="24"/>
                <w:highlight w:val="none"/>
                <w:lang w:val="en-US" w:eastAsia="zh-CN" w:bidi="ar-SA"/>
              </w:rPr>
              <w:t>仅风机位于室外，其余</w:t>
            </w:r>
            <w:r>
              <w:rPr>
                <w:rFonts w:hint="default" w:ascii="Times New Roman" w:hAnsi="Times New Roman" w:cs="Times New Roman"/>
                <w:color w:val="000000"/>
                <w:kern w:val="2"/>
                <w:sz w:val="24"/>
                <w:szCs w:val="24"/>
                <w:highlight w:val="none"/>
                <w:lang w:val="en-US" w:eastAsia="zh-CN" w:bidi="ar-SA"/>
              </w:rPr>
              <w:t>设备均位于室内，不涉及室外噪声源</w:t>
            </w:r>
            <w:r>
              <w:rPr>
                <w:rFonts w:hint="default" w:ascii="Times New Roman" w:hAnsi="Times New Roman" w:eastAsia="宋体" w:cs="Times New Roman"/>
                <w:color w:val="000000"/>
                <w:kern w:val="2"/>
                <w:sz w:val="24"/>
                <w:szCs w:val="24"/>
                <w:highlight w:val="none"/>
                <w:lang w:val="en-US" w:eastAsia="zh-CN" w:bidi="ar-SA"/>
              </w:rPr>
              <w:t>。经过以下两个措施，噪声值可达到标准：</w:t>
            </w:r>
          </w:p>
          <w:p w14:paraId="0D6587F3">
            <w:pPr>
              <w:pStyle w:val="95"/>
              <w:spacing w:before="120"/>
              <w:ind w:left="0"/>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噪声污染源源强核算结果及相关参数一览表</w:t>
            </w:r>
          </w:p>
          <w:tbl>
            <w:tblPr>
              <w:tblStyle w:val="20"/>
              <w:tblW w:w="87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954"/>
              <w:gridCol w:w="986"/>
              <w:gridCol w:w="1508"/>
              <w:gridCol w:w="1385"/>
              <w:gridCol w:w="1272"/>
              <w:gridCol w:w="1033"/>
            </w:tblGrid>
            <w:tr w14:paraId="7A68E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restart"/>
                  <w:noWrap w:val="0"/>
                  <w:vAlign w:val="center"/>
                </w:tcPr>
                <w:p w14:paraId="1BE61E8F">
                  <w:pPr>
                    <w:widowControl/>
                    <w:jc w:val="center"/>
                    <w:rPr>
                      <w:rFonts w:hint="default" w:ascii="Times New Roman" w:hAnsi="Times New Roman" w:eastAsia="宋体" w:cs="Times New Roman"/>
                      <w:b/>
                      <w:bCs/>
                      <w:color w:val="000000"/>
                      <w:szCs w:val="21"/>
                      <w:highlight w:val="none"/>
                      <w:lang w:eastAsia="zh-CN" w:bidi="ar"/>
                    </w:rPr>
                  </w:pPr>
                  <w:r>
                    <w:rPr>
                      <w:rFonts w:hint="default" w:ascii="Times New Roman" w:hAnsi="Times New Roman" w:eastAsia="宋体" w:cs="Times New Roman"/>
                      <w:b/>
                      <w:bCs/>
                      <w:color w:val="000000"/>
                      <w:szCs w:val="21"/>
                      <w:highlight w:val="none"/>
                      <w:lang w:eastAsia="zh-CN" w:bidi="ar"/>
                    </w:rPr>
                    <w:t>位置</w:t>
                  </w:r>
                </w:p>
              </w:tc>
              <w:tc>
                <w:tcPr>
                  <w:tcW w:w="1954" w:type="dxa"/>
                  <w:vMerge w:val="restart"/>
                  <w:noWrap w:val="0"/>
                  <w:vAlign w:val="center"/>
                </w:tcPr>
                <w:p w14:paraId="502CDBBE">
                  <w:pPr>
                    <w:widowControl/>
                    <w:jc w:val="center"/>
                    <w:rPr>
                      <w:rFonts w:hint="default" w:ascii="Times New Roman" w:hAnsi="Times New Roman" w:eastAsia="宋体" w:cs="Times New Roman"/>
                      <w:b/>
                      <w:bCs/>
                      <w:color w:val="000000"/>
                      <w:szCs w:val="21"/>
                      <w:highlight w:val="none"/>
                      <w:lang w:eastAsia="zh-CN" w:bidi="ar"/>
                    </w:rPr>
                  </w:pPr>
                  <w:r>
                    <w:rPr>
                      <w:rFonts w:hint="default" w:ascii="Times New Roman" w:hAnsi="Times New Roman" w:eastAsia="宋体" w:cs="Times New Roman"/>
                      <w:b/>
                      <w:bCs/>
                      <w:color w:val="000000"/>
                      <w:szCs w:val="21"/>
                      <w:highlight w:val="none"/>
                      <w:lang w:eastAsia="zh-CN" w:bidi="ar"/>
                    </w:rPr>
                    <w:t>设备名称</w:t>
                  </w:r>
                </w:p>
              </w:tc>
              <w:tc>
                <w:tcPr>
                  <w:tcW w:w="986" w:type="dxa"/>
                  <w:vMerge w:val="restart"/>
                  <w:noWrap w:val="0"/>
                  <w:vAlign w:val="center"/>
                </w:tcPr>
                <w:p w14:paraId="2DE89DB9">
                  <w:pPr>
                    <w:widowControl/>
                    <w:jc w:val="center"/>
                    <w:rPr>
                      <w:rFonts w:hint="default" w:ascii="Times New Roman" w:hAnsi="Times New Roman" w:eastAsia="宋体" w:cs="Times New Roman"/>
                      <w:b/>
                      <w:bCs/>
                      <w:color w:val="000000"/>
                      <w:szCs w:val="21"/>
                      <w:highlight w:val="none"/>
                      <w:lang w:eastAsia="zh-CN" w:bidi="ar"/>
                    </w:rPr>
                  </w:pPr>
                  <w:r>
                    <w:rPr>
                      <w:rFonts w:hint="default" w:ascii="Times New Roman" w:hAnsi="Times New Roman" w:eastAsia="宋体" w:cs="Times New Roman"/>
                      <w:b/>
                      <w:bCs/>
                      <w:color w:val="000000"/>
                      <w:szCs w:val="21"/>
                      <w:highlight w:val="none"/>
                      <w:lang w:eastAsia="zh-CN" w:bidi="ar"/>
                    </w:rPr>
                    <w:t>数量</w:t>
                  </w:r>
                </w:p>
              </w:tc>
              <w:tc>
                <w:tcPr>
                  <w:tcW w:w="1508" w:type="dxa"/>
                  <w:vMerge w:val="restart"/>
                  <w:noWrap w:val="0"/>
                  <w:vAlign w:val="center"/>
                </w:tcPr>
                <w:p w14:paraId="792AE91B">
                  <w:pPr>
                    <w:widowControl/>
                    <w:jc w:val="center"/>
                    <w:rPr>
                      <w:rFonts w:hint="default" w:ascii="Times New Roman" w:hAnsi="Times New Roman" w:eastAsia="宋体" w:cs="Times New Roman"/>
                      <w:b/>
                      <w:bCs/>
                      <w:color w:val="000000"/>
                      <w:szCs w:val="21"/>
                      <w:highlight w:val="none"/>
                      <w:lang w:eastAsia="zh-CN" w:bidi="ar"/>
                    </w:rPr>
                  </w:pPr>
                  <w:r>
                    <w:rPr>
                      <w:rFonts w:hint="default" w:ascii="Times New Roman" w:hAnsi="Times New Roman" w:eastAsia="宋体" w:cs="Times New Roman"/>
                      <w:b/>
                      <w:bCs/>
                      <w:color w:val="000000"/>
                      <w:szCs w:val="21"/>
                      <w:highlight w:val="none"/>
                      <w:lang w:eastAsia="zh-CN" w:bidi="ar"/>
                    </w:rPr>
                    <w:t>声源类型</w:t>
                  </w:r>
                </w:p>
              </w:tc>
              <w:tc>
                <w:tcPr>
                  <w:tcW w:w="2657" w:type="dxa"/>
                  <w:gridSpan w:val="2"/>
                  <w:noWrap w:val="0"/>
                  <w:vAlign w:val="center"/>
                </w:tcPr>
                <w:p w14:paraId="18ADA4E3">
                  <w:pPr>
                    <w:widowControl/>
                    <w:jc w:val="center"/>
                    <w:rPr>
                      <w:rFonts w:hint="default" w:ascii="Times New Roman" w:hAnsi="Times New Roman" w:eastAsia="宋体" w:cs="Times New Roman"/>
                      <w:b/>
                      <w:bCs/>
                      <w:color w:val="000000"/>
                      <w:szCs w:val="21"/>
                      <w:highlight w:val="none"/>
                      <w:lang w:eastAsia="zh-CN" w:bidi="ar"/>
                    </w:rPr>
                  </w:pPr>
                  <w:r>
                    <w:rPr>
                      <w:rFonts w:hint="default" w:ascii="Times New Roman" w:hAnsi="Times New Roman" w:eastAsia="宋体" w:cs="Times New Roman"/>
                      <w:b/>
                      <w:bCs/>
                      <w:color w:val="000000"/>
                      <w:szCs w:val="21"/>
                      <w:highlight w:val="none"/>
                      <w:lang w:eastAsia="zh-CN" w:bidi="ar"/>
                    </w:rPr>
                    <w:t>噪声源强</w:t>
                  </w:r>
                </w:p>
              </w:tc>
              <w:tc>
                <w:tcPr>
                  <w:tcW w:w="1033" w:type="dxa"/>
                  <w:vMerge w:val="restart"/>
                  <w:noWrap w:val="0"/>
                  <w:vAlign w:val="center"/>
                </w:tcPr>
                <w:p w14:paraId="5E06CE9A">
                  <w:pPr>
                    <w:widowControl/>
                    <w:jc w:val="center"/>
                    <w:rPr>
                      <w:rFonts w:hint="default" w:ascii="Times New Roman" w:hAnsi="Times New Roman" w:eastAsia="宋体" w:cs="Times New Roman"/>
                      <w:b/>
                      <w:bCs/>
                      <w:color w:val="000000"/>
                      <w:szCs w:val="21"/>
                      <w:highlight w:val="none"/>
                      <w:lang w:val="en-US" w:eastAsia="zh-CN" w:bidi="ar"/>
                    </w:rPr>
                  </w:pPr>
                  <w:r>
                    <w:rPr>
                      <w:rFonts w:hint="eastAsia" w:eastAsia="宋体" w:cs="Times New Roman"/>
                      <w:b/>
                      <w:bCs/>
                      <w:color w:val="000000"/>
                      <w:szCs w:val="21"/>
                      <w:highlight w:val="none"/>
                      <w:lang w:val="en-US" w:eastAsia="zh-CN" w:bidi="ar"/>
                    </w:rPr>
                    <w:t>备注</w:t>
                  </w:r>
                </w:p>
              </w:tc>
            </w:tr>
            <w:tr w14:paraId="1D527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639" w:type="dxa"/>
                  <w:vMerge w:val="continue"/>
                  <w:noWrap w:val="0"/>
                  <w:vAlign w:val="center"/>
                </w:tcPr>
                <w:p w14:paraId="11D48BF2">
                  <w:pPr>
                    <w:widowControl/>
                    <w:jc w:val="center"/>
                    <w:rPr>
                      <w:rFonts w:hint="default" w:ascii="Times New Roman" w:hAnsi="Times New Roman" w:eastAsia="宋体" w:cs="Times New Roman"/>
                      <w:color w:val="000000"/>
                      <w:szCs w:val="21"/>
                      <w:highlight w:val="none"/>
                      <w:lang w:eastAsia="zh-CN" w:bidi="ar"/>
                    </w:rPr>
                  </w:pPr>
                </w:p>
              </w:tc>
              <w:tc>
                <w:tcPr>
                  <w:tcW w:w="1954" w:type="dxa"/>
                  <w:vMerge w:val="continue"/>
                  <w:noWrap w:val="0"/>
                  <w:vAlign w:val="center"/>
                </w:tcPr>
                <w:p w14:paraId="366602D5">
                  <w:pPr>
                    <w:widowControl/>
                    <w:jc w:val="center"/>
                    <w:rPr>
                      <w:rFonts w:hint="default" w:ascii="Times New Roman" w:hAnsi="Times New Roman" w:eastAsia="宋体" w:cs="Times New Roman"/>
                      <w:color w:val="000000"/>
                      <w:szCs w:val="21"/>
                      <w:highlight w:val="none"/>
                      <w:lang w:eastAsia="zh-CN" w:bidi="ar"/>
                    </w:rPr>
                  </w:pPr>
                </w:p>
              </w:tc>
              <w:tc>
                <w:tcPr>
                  <w:tcW w:w="986" w:type="dxa"/>
                  <w:vMerge w:val="continue"/>
                  <w:noWrap w:val="0"/>
                  <w:vAlign w:val="center"/>
                </w:tcPr>
                <w:p w14:paraId="23799752">
                  <w:pPr>
                    <w:widowControl/>
                    <w:jc w:val="center"/>
                    <w:rPr>
                      <w:rFonts w:hint="default" w:ascii="Times New Roman" w:hAnsi="Times New Roman" w:eastAsia="宋体" w:cs="Times New Roman"/>
                      <w:color w:val="000000"/>
                      <w:szCs w:val="21"/>
                      <w:highlight w:val="none"/>
                      <w:lang w:eastAsia="zh-CN" w:bidi="ar"/>
                    </w:rPr>
                  </w:pPr>
                </w:p>
              </w:tc>
              <w:tc>
                <w:tcPr>
                  <w:tcW w:w="1508" w:type="dxa"/>
                  <w:vMerge w:val="continue"/>
                  <w:noWrap w:val="0"/>
                  <w:vAlign w:val="center"/>
                </w:tcPr>
                <w:p w14:paraId="5AE5706C">
                  <w:pPr>
                    <w:widowControl/>
                    <w:jc w:val="center"/>
                    <w:rPr>
                      <w:rFonts w:hint="default" w:ascii="Times New Roman" w:hAnsi="Times New Roman" w:eastAsia="宋体" w:cs="Times New Roman"/>
                      <w:color w:val="000000"/>
                      <w:szCs w:val="21"/>
                      <w:highlight w:val="none"/>
                      <w:lang w:eastAsia="zh-CN" w:bidi="ar"/>
                    </w:rPr>
                  </w:pPr>
                </w:p>
              </w:tc>
              <w:tc>
                <w:tcPr>
                  <w:tcW w:w="1385" w:type="dxa"/>
                  <w:noWrap w:val="0"/>
                  <w:vAlign w:val="center"/>
                </w:tcPr>
                <w:p w14:paraId="69A6498C">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核算方法</w:t>
                  </w:r>
                </w:p>
              </w:tc>
              <w:tc>
                <w:tcPr>
                  <w:tcW w:w="1272" w:type="dxa"/>
                  <w:noWrap w:val="0"/>
                  <w:vAlign w:val="center"/>
                </w:tcPr>
                <w:p w14:paraId="03577BFA">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噪声值/dB(A)</w:t>
                  </w:r>
                </w:p>
              </w:tc>
              <w:tc>
                <w:tcPr>
                  <w:tcW w:w="1033" w:type="dxa"/>
                  <w:vMerge w:val="continue"/>
                  <w:noWrap w:val="0"/>
                  <w:vAlign w:val="center"/>
                </w:tcPr>
                <w:p w14:paraId="641DF2DB">
                  <w:pPr>
                    <w:widowControl/>
                    <w:jc w:val="center"/>
                    <w:rPr>
                      <w:rFonts w:hint="default" w:ascii="Times New Roman" w:hAnsi="Times New Roman" w:eastAsia="宋体" w:cs="Times New Roman"/>
                      <w:color w:val="000000"/>
                      <w:szCs w:val="21"/>
                      <w:highlight w:val="none"/>
                      <w:lang w:eastAsia="zh-CN" w:bidi="ar"/>
                    </w:rPr>
                  </w:pPr>
                </w:p>
              </w:tc>
            </w:tr>
            <w:tr w14:paraId="6BD1B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restart"/>
                  <w:noWrap w:val="0"/>
                  <w:vAlign w:val="center"/>
                </w:tcPr>
                <w:p w14:paraId="7FB6BD12">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设备</w:t>
                  </w:r>
                </w:p>
              </w:tc>
              <w:tc>
                <w:tcPr>
                  <w:tcW w:w="1954" w:type="dxa"/>
                  <w:shd w:val="clear" w:color="auto" w:fill="auto"/>
                  <w:noWrap w:val="0"/>
                  <w:vAlign w:val="center"/>
                </w:tcPr>
                <w:p w14:paraId="7189CF33">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冲床</w:t>
                  </w:r>
                </w:p>
              </w:tc>
              <w:tc>
                <w:tcPr>
                  <w:tcW w:w="986" w:type="dxa"/>
                  <w:noWrap w:val="0"/>
                  <w:vAlign w:val="center"/>
                </w:tcPr>
                <w:p w14:paraId="3E467066">
                  <w:pPr>
                    <w:pStyle w:val="113"/>
                    <w:spacing w:beforeLines="0" w:afterLines="0" w:line="240" w:lineRule="auto"/>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6AD23A3A">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1D5F20E8">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2A9FF3E9">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80</w:t>
                  </w:r>
                </w:p>
              </w:tc>
              <w:tc>
                <w:tcPr>
                  <w:tcW w:w="1033" w:type="dxa"/>
                  <w:noWrap w:val="0"/>
                  <w:vAlign w:val="center"/>
                </w:tcPr>
                <w:p w14:paraId="1193AFF3">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46DC8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68FC73BC">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72362736">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点焊机</w:t>
                  </w:r>
                </w:p>
              </w:tc>
              <w:tc>
                <w:tcPr>
                  <w:tcW w:w="986" w:type="dxa"/>
                  <w:noWrap w:val="0"/>
                  <w:vAlign w:val="center"/>
                </w:tcPr>
                <w:p w14:paraId="61595505">
                  <w:pPr>
                    <w:pStyle w:val="113"/>
                    <w:spacing w:beforeLines="0" w:afterLines="0" w:line="240" w:lineRule="auto"/>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highlight w:val="none"/>
                      <w:lang w:val="en-US" w:eastAsia="zh-CN"/>
                    </w:rPr>
                    <w:t>28台</w:t>
                  </w:r>
                </w:p>
              </w:tc>
              <w:tc>
                <w:tcPr>
                  <w:tcW w:w="1508" w:type="dxa"/>
                  <w:noWrap w:val="0"/>
                  <w:vAlign w:val="center"/>
                </w:tcPr>
                <w:p w14:paraId="4850AB25">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6CB079DD">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46EAE0E4">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kern w:val="2"/>
                      <w:sz w:val="21"/>
                      <w:szCs w:val="21"/>
                      <w:highlight w:val="none"/>
                      <w:lang w:val="en-US" w:eastAsia="zh-CN" w:bidi="ar"/>
                    </w:rPr>
                    <w:t>80</w:t>
                  </w:r>
                </w:p>
              </w:tc>
              <w:tc>
                <w:tcPr>
                  <w:tcW w:w="1033" w:type="dxa"/>
                  <w:noWrap w:val="0"/>
                  <w:vAlign w:val="center"/>
                </w:tcPr>
                <w:p w14:paraId="32B54727">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eastAsia" w:eastAsia="宋体" w:cs="Times New Roman"/>
                      <w:color w:val="000000"/>
                      <w:szCs w:val="21"/>
                      <w:highlight w:val="none"/>
                      <w:lang w:val="en-US" w:eastAsia="zh-CN" w:bidi="ar"/>
                    </w:rPr>
                    <w:t>室内</w:t>
                  </w:r>
                </w:p>
              </w:tc>
            </w:tr>
            <w:tr w14:paraId="3FFB4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1F55E36D">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6E44814A">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超声波塑焊机</w:t>
                  </w:r>
                </w:p>
              </w:tc>
              <w:tc>
                <w:tcPr>
                  <w:tcW w:w="986" w:type="dxa"/>
                  <w:noWrap w:val="0"/>
                  <w:vAlign w:val="center"/>
                </w:tcPr>
                <w:p w14:paraId="34DB7E09">
                  <w:pPr>
                    <w:pStyle w:val="113"/>
                    <w:spacing w:beforeLines="0" w:afterLines="0" w:line="240" w:lineRule="auto"/>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highlight w:val="none"/>
                      <w:lang w:val="en-US" w:eastAsia="zh-CN"/>
                    </w:rPr>
                    <w:t>8台</w:t>
                  </w:r>
                </w:p>
              </w:tc>
              <w:tc>
                <w:tcPr>
                  <w:tcW w:w="1508" w:type="dxa"/>
                  <w:noWrap w:val="0"/>
                  <w:vAlign w:val="center"/>
                </w:tcPr>
                <w:p w14:paraId="498D14BC">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7005161F">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5879DDA2">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kern w:val="2"/>
                      <w:sz w:val="21"/>
                      <w:szCs w:val="21"/>
                      <w:highlight w:val="none"/>
                      <w:lang w:val="en-US" w:eastAsia="zh-CN" w:bidi="ar"/>
                    </w:rPr>
                    <w:t>75</w:t>
                  </w:r>
                </w:p>
              </w:tc>
              <w:tc>
                <w:tcPr>
                  <w:tcW w:w="1033" w:type="dxa"/>
                  <w:noWrap w:val="0"/>
                  <w:vAlign w:val="center"/>
                </w:tcPr>
                <w:p w14:paraId="55B9D227">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eastAsia" w:eastAsia="宋体" w:cs="Times New Roman"/>
                      <w:color w:val="000000"/>
                      <w:szCs w:val="21"/>
                      <w:highlight w:val="none"/>
                      <w:lang w:val="en-US" w:eastAsia="zh-CN" w:bidi="ar"/>
                    </w:rPr>
                    <w:t>室内</w:t>
                  </w:r>
                </w:p>
              </w:tc>
            </w:tr>
            <w:tr w14:paraId="1ACA4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081B982D">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3F3CB216">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点胶机</w:t>
                  </w:r>
                </w:p>
              </w:tc>
              <w:tc>
                <w:tcPr>
                  <w:tcW w:w="986" w:type="dxa"/>
                  <w:noWrap w:val="0"/>
                  <w:vAlign w:val="center"/>
                </w:tcPr>
                <w:p w14:paraId="0D83B262">
                  <w:pPr>
                    <w:pStyle w:val="113"/>
                    <w:spacing w:beforeLines="0" w:afterLines="0" w:line="240" w:lineRule="auto"/>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4EB5F0BE">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522DBEBD">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42EFCA21">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kern w:val="2"/>
                      <w:sz w:val="21"/>
                      <w:szCs w:val="21"/>
                      <w:highlight w:val="none"/>
                      <w:lang w:val="en-US" w:eastAsia="zh-CN" w:bidi="ar"/>
                    </w:rPr>
                    <w:t>80</w:t>
                  </w:r>
                </w:p>
              </w:tc>
              <w:tc>
                <w:tcPr>
                  <w:tcW w:w="1033" w:type="dxa"/>
                  <w:noWrap w:val="0"/>
                  <w:vAlign w:val="center"/>
                </w:tcPr>
                <w:p w14:paraId="4F186D6C">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eastAsia" w:eastAsia="宋体" w:cs="Times New Roman"/>
                      <w:color w:val="000000"/>
                      <w:szCs w:val="21"/>
                      <w:highlight w:val="none"/>
                      <w:lang w:val="en-US" w:eastAsia="zh-CN" w:bidi="ar"/>
                    </w:rPr>
                    <w:t>室内</w:t>
                  </w:r>
                </w:p>
              </w:tc>
            </w:tr>
            <w:tr w14:paraId="0290A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21746F0D">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044E2862">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破碎机</w:t>
                  </w:r>
                </w:p>
              </w:tc>
              <w:tc>
                <w:tcPr>
                  <w:tcW w:w="986" w:type="dxa"/>
                  <w:noWrap w:val="0"/>
                  <w:vAlign w:val="center"/>
                </w:tcPr>
                <w:p w14:paraId="71F2D658">
                  <w:pPr>
                    <w:pStyle w:val="113"/>
                    <w:spacing w:beforeLines="0" w:afterLines="0" w:line="240" w:lineRule="auto"/>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highlight w:val="none"/>
                      <w:lang w:val="en-US" w:eastAsia="zh-CN"/>
                    </w:rPr>
                    <w:t>5台</w:t>
                  </w:r>
                </w:p>
              </w:tc>
              <w:tc>
                <w:tcPr>
                  <w:tcW w:w="1508" w:type="dxa"/>
                  <w:noWrap w:val="0"/>
                  <w:vAlign w:val="center"/>
                </w:tcPr>
                <w:p w14:paraId="13184954">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07860D21">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6BFE0020">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default" w:ascii="Times New Roman" w:hAnsi="Times New Roman" w:eastAsia="宋体" w:cs="Times New Roman"/>
                      <w:color w:val="000000"/>
                      <w:kern w:val="2"/>
                      <w:sz w:val="21"/>
                      <w:szCs w:val="21"/>
                      <w:highlight w:val="none"/>
                      <w:lang w:val="en-US" w:eastAsia="zh-CN" w:bidi="ar"/>
                    </w:rPr>
                    <w:t>65</w:t>
                  </w:r>
                </w:p>
              </w:tc>
              <w:tc>
                <w:tcPr>
                  <w:tcW w:w="1033" w:type="dxa"/>
                  <w:noWrap w:val="0"/>
                  <w:vAlign w:val="center"/>
                </w:tcPr>
                <w:p w14:paraId="49723841">
                  <w:pPr>
                    <w:widowControl/>
                    <w:jc w:val="center"/>
                    <w:rPr>
                      <w:rFonts w:hint="default" w:ascii="Times New Roman" w:hAnsi="Times New Roman" w:eastAsia="宋体" w:cs="Times New Roman"/>
                      <w:color w:val="000000"/>
                      <w:kern w:val="2"/>
                      <w:sz w:val="21"/>
                      <w:szCs w:val="21"/>
                      <w:highlight w:val="none"/>
                      <w:lang w:val="en-US" w:eastAsia="zh-CN" w:bidi="ar"/>
                    </w:rPr>
                  </w:pPr>
                  <w:r>
                    <w:rPr>
                      <w:rFonts w:hint="eastAsia" w:eastAsia="宋体" w:cs="Times New Roman"/>
                      <w:color w:val="000000"/>
                      <w:szCs w:val="21"/>
                      <w:highlight w:val="none"/>
                      <w:lang w:val="en-US" w:eastAsia="zh-CN" w:bidi="ar"/>
                    </w:rPr>
                    <w:t>室内</w:t>
                  </w:r>
                </w:p>
              </w:tc>
            </w:tr>
            <w:tr w14:paraId="6BF0A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431AD916">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26135F4A">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混色机</w:t>
                  </w:r>
                </w:p>
              </w:tc>
              <w:tc>
                <w:tcPr>
                  <w:tcW w:w="986" w:type="dxa"/>
                  <w:noWrap w:val="0"/>
                  <w:vAlign w:val="center"/>
                </w:tcPr>
                <w:p w14:paraId="343BCB2E">
                  <w:pPr>
                    <w:pStyle w:val="113"/>
                    <w:spacing w:beforeLines="0" w:afterLines="0" w:line="240" w:lineRule="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5台</w:t>
                  </w:r>
                </w:p>
              </w:tc>
              <w:tc>
                <w:tcPr>
                  <w:tcW w:w="1508" w:type="dxa"/>
                  <w:noWrap w:val="0"/>
                  <w:vAlign w:val="center"/>
                </w:tcPr>
                <w:p w14:paraId="4E5CD906">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216AE68D">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1DDB0447">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65</w:t>
                  </w:r>
                </w:p>
              </w:tc>
              <w:tc>
                <w:tcPr>
                  <w:tcW w:w="1033" w:type="dxa"/>
                  <w:noWrap w:val="0"/>
                  <w:vAlign w:val="center"/>
                </w:tcPr>
                <w:p w14:paraId="12ADE87D">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455B9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42307613">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12A1BE9A">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端子机</w:t>
                  </w:r>
                </w:p>
              </w:tc>
              <w:tc>
                <w:tcPr>
                  <w:tcW w:w="986" w:type="dxa"/>
                  <w:noWrap w:val="0"/>
                  <w:vAlign w:val="center"/>
                </w:tcPr>
                <w:p w14:paraId="27500984">
                  <w:pPr>
                    <w:pStyle w:val="113"/>
                    <w:spacing w:beforeLines="0" w:afterLines="0" w:line="240" w:lineRule="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3台</w:t>
                  </w:r>
                </w:p>
              </w:tc>
              <w:tc>
                <w:tcPr>
                  <w:tcW w:w="1508" w:type="dxa"/>
                  <w:noWrap w:val="0"/>
                  <w:vAlign w:val="center"/>
                </w:tcPr>
                <w:p w14:paraId="24CC671D">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76AD6F4F">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791DF52C">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80</w:t>
                  </w:r>
                </w:p>
              </w:tc>
              <w:tc>
                <w:tcPr>
                  <w:tcW w:w="1033" w:type="dxa"/>
                  <w:noWrap w:val="0"/>
                  <w:vAlign w:val="center"/>
                </w:tcPr>
                <w:p w14:paraId="3BE6EBAE">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1EA2A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3B9076E2">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52FC4878">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铆接机</w:t>
                  </w:r>
                </w:p>
              </w:tc>
              <w:tc>
                <w:tcPr>
                  <w:tcW w:w="986" w:type="dxa"/>
                  <w:noWrap w:val="0"/>
                  <w:vAlign w:val="center"/>
                </w:tcPr>
                <w:p w14:paraId="0FBA9171">
                  <w:pPr>
                    <w:pStyle w:val="113"/>
                    <w:spacing w:beforeLines="0" w:afterLines="0" w:line="240" w:lineRule="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8台</w:t>
                  </w:r>
                </w:p>
              </w:tc>
              <w:tc>
                <w:tcPr>
                  <w:tcW w:w="1508" w:type="dxa"/>
                  <w:noWrap w:val="0"/>
                  <w:vAlign w:val="center"/>
                </w:tcPr>
                <w:p w14:paraId="2ABF716C">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71770897">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7F549A80">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80</w:t>
                  </w:r>
                </w:p>
              </w:tc>
              <w:tc>
                <w:tcPr>
                  <w:tcW w:w="1033" w:type="dxa"/>
                  <w:noWrap w:val="0"/>
                  <w:vAlign w:val="center"/>
                </w:tcPr>
                <w:p w14:paraId="461E877F">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530F2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12966F26">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74BE8738">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剥线机</w:t>
                  </w:r>
                </w:p>
              </w:tc>
              <w:tc>
                <w:tcPr>
                  <w:tcW w:w="986" w:type="dxa"/>
                  <w:noWrap w:val="0"/>
                  <w:vAlign w:val="center"/>
                </w:tcPr>
                <w:p w14:paraId="2A32BCC2">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1841D36B">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35D0D18C">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553D9794">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80</w:t>
                  </w:r>
                </w:p>
              </w:tc>
              <w:tc>
                <w:tcPr>
                  <w:tcW w:w="1033" w:type="dxa"/>
                  <w:noWrap w:val="0"/>
                  <w:vAlign w:val="center"/>
                </w:tcPr>
                <w:p w14:paraId="105AB72B">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673D9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10E0EB97">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236186C4">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铜带机</w:t>
                  </w:r>
                </w:p>
              </w:tc>
              <w:tc>
                <w:tcPr>
                  <w:tcW w:w="986" w:type="dxa"/>
                  <w:noWrap w:val="0"/>
                  <w:vAlign w:val="center"/>
                </w:tcPr>
                <w:p w14:paraId="3CE6A27E">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515FD1E1">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39DC3BE4">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27932391">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80</w:t>
                  </w:r>
                </w:p>
              </w:tc>
              <w:tc>
                <w:tcPr>
                  <w:tcW w:w="1033" w:type="dxa"/>
                  <w:noWrap w:val="0"/>
                  <w:vAlign w:val="center"/>
                </w:tcPr>
                <w:p w14:paraId="3B5F32B0">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7828A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6993C860">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248170D1">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立式</w:t>
                  </w:r>
                  <w:r>
                    <w:rPr>
                      <w:rFonts w:hint="eastAsia" w:ascii="Times New Roman" w:hAnsi="Times New Roman" w:cs="Times New Roman"/>
                      <w:color w:val="000000"/>
                      <w:highlight w:val="none"/>
                      <w:lang w:val="en-US" w:eastAsia="zh-CN"/>
                    </w:rPr>
                    <w:t>烘干注塑一体机</w:t>
                  </w:r>
                </w:p>
              </w:tc>
              <w:tc>
                <w:tcPr>
                  <w:tcW w:w="986" w:type="dxa"/>
                  <w:noWrap w:val="0"/>
                  <w:vAlign w:val="center"/>
                </w:tcPr>
                <w:p w14:paraId="1D4E67C7">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30台</w:t>
                  </w:r>
                </w:p>
              </w:tc>
              <w:tc>
                <w:tcPr>
                  <w:tcW w:w="1508" w:type="dxa"/>
                  <w:noWrap w:val="0"/>
                  <w:vAlign w:val="center"/>
                </w:tcPr>
                <w:p w14:paraId="680DA697">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47171351">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4C9FF617">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65</w:t>
                  </w:r>
                </w:p>
              </w:tc>
              <w:tc>
                <w:tcPr>
                  <w:tcW w:w="1033" w:type="dxa"/>
                  <w:noWrap w:val="0"/>
                  <w:vAlign w:val="center"/>
                </w:tcPr>
                <w:p w14:paraId="18E25FEC">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39937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40AA976E">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7EF8F537">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卧式</w:t>
                  </w:r>
                  <w:r>
                    <w:rPr>
                      <w:rFonts w:hint="eastAsia" w:ascii="Times New Roman" w:hAnsi="Times New Roman" w:cs="Times New Roman"/>
                      <w:color w:val="000000"/>
                      <w:highlight w:val="none"/>
                      <w:lang w:val="en-US" w:eastAsia="zh-CN"/>
                    </w:rPr>
                    <w:t>烘干注塑一体机</w:t>
                  </w:r>
                </w:p>
              </w:tc>
              <w:tc>
                <w:tcPr>
                  <w:tcW w:w="986" w:type="dxa"/>
                  <w:noWrap w:val="0"/>
                  <w:vAlign w:val="center"/>
                </w:tcPr>
                <w:p w14:paraId="3F14ED7F">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1A44B1D3">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38AE7A97">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6E2A3536">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75</w:t>
                  </w:r>
                </w:p>
              </w:tc>
              <w:tc>
                <w:tcPr>
                  <w:tcW w:w="1033" w:type="dxa"/>
                  <w:noWrap w:val="0"/>
                  <w:vAlign w:val="center"/>
                </w:tcPr>
                <w:p w14:paraId="77262978">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6D07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32ADF6D2">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6A7056D1">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激光</w:t>
                  </w:r>
                  <w:r>
                    <w:rPr>
                      <w:rFonts w:hint="eastAsia" w:ascii="Times New Roman" w:hAnsi="Times New Roman" w:cs="Times New Roman"/>
                      <w:color w:val="000000"/>
                      <w:highlight w:val="none"/>
                      <w:lang w:val="en-US" w:eastAsia="zh-CN"/>
                    </w:rPr>
                    <w:t>打标机</w:t>
                  </w:r>
                </w:p>
              </w:tc>
              <w:tc>
                <w:tcPr>
                  <w:tcW w:w="986" w:type="dxa"/>
                  <w:noWrap w:val="0"/>
                  <w:vAlign w:val="center"/>
                </w:tcPr>
                <w:p w14:paraId="0E84315D">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5台</w:t>
                  </w:r>
                </w:p>
              </w:tc>
              <w:tc>
                <w:tcPr>
                  <w:tcW w:w="1508" w:type="dxa"/>
                  <w:noWrap w:val="0"/>
                  <w:vAlign w:val="center"/>
                </w:tcPr>
                <w:p w14:paraId="654235F8">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03B77AA0">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580D17CC">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75</w:t>
                  </w:r>
                </w:p>
              </w:tc>
              <w:tc>
                <w:tcPr>
                  <w:tcW w:w="1033" w:type="dxa"/>
                  <w:noWrap w:val="0"/>
                  <w:vAlign w:val="center"/>
                </w:tcPr>
                <w:p w14:paraId="38498093">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47732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7861FC57">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58FA232E">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超声波除尘机</w:t>
                  </w:r>
                </w:p>
              </w:tc>
              <w:tc>
                <w:tcPr>
                  <w:tcW w:w="986" w:type="dxa"/>
                  <w:noWrap w:val="0"/>
                  <w:vAlign w:val="center"/>
                </w:tcPr>
                <w:p w14:paraId="24C9343F">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4663DF3B">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7D5096A3">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497CEA57">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75</w:t>
                  </w:r>
                </w:p>
              </w:tc>
              <w:tc>
                <w:tcPr>
                  <w:tcW w:w="1033" w:type="dxa"/>
                  <w:noWrap w:val="0"/>
                  <w:vAlign w:val="center"/>
                </w:tcPr>
                <w:p w14:paraId="48659D4E">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3A007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6D092FFC">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7B56A538">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开线机</w:t>
                  </w:r>
                </w:p>
              </w:tc>
              <w:tc>
                <w:tcPr>
                  <w:tcW w:w="986" w:type="dxa"/>
                  <w:noWrap w:val="0"/>
                  <w:vAlign w:val="center"/>
                </w:tcPr>
                <w:p w14:paraId="00FD67C4">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4台</w:t>
                  </w:r>
                </w:p>
              </w:tc>
              <w:tc>
                <w:tcPr>
                  <w:tcW w:w="1508" w:type="dxa"/>
                  <w:noWrap w:val="0"/>
                  <w:vAlign w:val="center"/>
                </w:tcPr>
                <w:p w14:paraId="2E57BE4D">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4BCB5986">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396A3F8F">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70</w:t>
                  </w:r>
                </w:p>
              </w:tc>
              <w:tc>
                <w:tcPr>
                  <w:tcW w:w="1033" w:type="dxa"/>
                  <w:noWrap w:val="0"/>
                  <w:vAlign w:val="center"/>
                </w:tcPr>
                <w:p w14:paraId="3A5A4482">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2F5A9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5C05DFA2">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470DF7CB">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测试仪</w:t>
                  </w:r>
                </w:p>
              </w:tc>
              <w:tc>
                <w:tcPr>
                  <w:tcW w:w="986" w:type="dxa"/>
                  <w:noWrap w:val="0"/>
                  <w:vAlign w:val="center"/>
                </w:tcPr>
                <w:p w14:paraId="2914BD78">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7条</w:t>
                  </w:r>
                </w:p>
              </w:tc>
              <w:tc>
                <w:tcPr>
                  <w:tcW w:w="1508" w:type="dxa"/>
                  <w:noWrap w:val="0"/>
                  <w:vAlign w:val="center"/>
                </w:tcPr>
                <w:p w14:paraId="58281EEC">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20505CEF">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0BE83CFF">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70</w:t>
                  </w:r>
                </w:p>
              </w:tc>
              <w:tc>
                <w:tcPr>
                  <w:tcW w:w="1033" w:type="dxa"/>
                  <w:noWrap w:val="0"/>
                  <w:vAlign w:val="center"/>
                </w:tcPr>
                <w:p w14:paraId="520FFDFC">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39DB5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149A38EE">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6B4765CD">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ascii="Times New Roman" w:hAnsi="Times New Roman" w:cs="Times New Roman"/>
                      <w:color w:val="000000"/>
                      <w:highlight w:val="none"/>
                      <w:lang w:val="en-US" w:eastAsia="zh-CN"/>
                    </w:rPr>
                    <w:t>干燥箱</w:t>
                  </w:r>
                </w:p>
              </w:tc>
              <w:tc>
                <w:tcPr>
                  <w:tcW w:w="986" w:type="dxa"/>
                  <w:noWrap w:val="0"/>
                  <w:vAlign w:val="center"/>
                </w:tcPr>
                <w:p w14:paraId="624B5CE2">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15台</w:t>
                  </w:r>
                </w:p>
              </w:tc>
              <w:tc>
                <w:tcPr>
                  <w:tcW w:w="1508" w:type="dxa"/>
                  <w:noWrap w:val="0"/>
                  <w:vAlign w:val="center"/>
                </w:tcPr>
                <w:p w14:paraId="5849698A">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1E2E7577">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385EA80D">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70</w:t>
                  </w:r>
                </w:p>
              </w:tc>
              <w:tc>
                <w:tcPr>
                  <w:tcW w:w="1033" w:type="dxa"/>
                  <w:noWrap w:val="0"/>
                  <w:vAlign w:val="center"/>
                </w:tcPr>
                <w:p w14:paraId="6B21223C">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7B182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39" w:type="dxa"/>
                  <w:vMerge w:val="continue"/>
                  <w:noWrap w:val="0"/>
                  <w:vAlign w:val="center"/>
                </w:tcPr>
                <w:p w14:paraId="7D500D61">
                  <w:pPr>
                    <w:widowControl/>
                    <w:jc w:val="center"/>
                    <w:rPr>
                      <w:rFonts w:hint="default" w:ascii="Times New Roman" w:hAnsi="Times New Roman" w:eastAsia="宋体" w:cs="Times New Roman"/>
                      <w:color w:val="000000"/>
                      <w:szCs w:val="21"/>
                      <w:highlight w:val="none"/>
                      <w:lang w:eastAsia="zh-CN" w:bidi="ar"/>
                    </w:rPr>
                  </w:pPr>
                </w:p>
              </w:tc>
              <w:tc>
                <w:tcPr>
                  <w:tcW w:w="1954" w:type="dxa"/>
                  <w:shd w:val="clear" w:color="auto" w:fill="auto"/>
                  <w:noWrap w:val="0"/>
                  <w:vAlign w:val="center"/>
                </w:tcPr>
                <w:p w14:paraId="1CF69875">
                  <w:pPr>
                    <w:pStyle w:val="113"/>
                    <w:keepNext w:val="0"/>
                    <w:keepLines w:val="0"/>
                    <w:pageBreakBefore w:val="0"/>
                    <w:widowControl w:val="0"/>
                    <w:kinsoku/>
                    <w:wordWrap/>
                    <w:overflowPunct/>
                    <w:topLinePunct w:val="0"/>
                    <w:autoSpaceDE/>
                    <w:autoSpaceDN/>
                    <w:bidi w:val="0"/>
                    <w:adjustRightInd/>
                    <w:snapToGrid/>
                    <w:spacing w:beforeLines="0" w:afterLines="0" w:line="240" w:lineRule="auto"/>
                    <w:jc w:val="center"/>
                    <w:textAlignment w:val="auto"/>
                    <w:rPr>
                      <w:rFonts w:hint="default" w:ascii="Times New Roman" w:hAnsi="Times New Roman" w:eastAsia="宋体" w:cs="Times New Roman"/>
                      <w:color w:val="000000"/>
                      <w:kern w:val="2"/>
                      <w:position w:val="-10"/>
                      <w:sz w:val="21"/>
                      <w:szCs w:val="20"/>
                      <w:highlight w:val="none"/>
                      <w:lang w:val="en-US" w:eastAsia="zh-CN" w:bidi="ar-SA"/>
                    </w:rPr>
                  </w:pPr>
                  <w:r>
                    <w:rPr>
                      <w:rFonts w:hint="eastAsia" w:cs="Times New Roman"/>
                      <w:color w:val="000000"/>
                      <w:highlight w:val="none"/>
                      <w:lang w:val="en-US" w:eastAsia="zh-CN"/>
                    </w:rPr>
                    <w:t>空压机</w:t>
                  </w:r>
                </w:p>
              </w:tc>
              <w:tc>
                <w:tcPr>
                  <w:tcW w:w="986" w:type="dxa"/>
                  <w:noWrap w:val="0"/>
                  <w:vAlign w:val="center"/>
                </w:tcPr>
                <w:p w14:paraId="427B80E7">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highlight w:val="none"/>
                      <w:lang w:val="en-US" w:eastAsia="zh-CN"/>
                    </w:rPr>
                    <w:t>2台</w:t>
                  </w:r>
                </w:p>
              </w:tc>
              <w:tc>
                <w:tcPr>
                  <w:tcW w:w="1508" w:type="dxa"/>
                  <w:noWrap w:val="0"/>
                  <w:vAlign w:val="center"/>
                </w:tcPr>
                <w:p w14:paraId="6D51C6F3">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频发</w:t>
                  </w:r>
                </w:p>
              </w:tc>
              <w:tc>
                <w:tcPr>
                  <w:tcW w:w="1385" w:type="dxa"/>
                  <w:noWrap w:val="0"/>
                  <w:vAlign w:val="center"/>
                </w:tcPr>
                <w:p w14:paraId="7249F6E3">
                  <w:pPr>
                    <w:widowControl/>
                    <w:jc w:val="center"/>
                    <w:rPr>
                      <w:rFonts w:hint="default" w:ascii="Times New Roman" w:hAnsi="Times New Roman" w:eastAsia="宋体" w:cs="Times New Roman"/>
                      <w:color w:val="000000"/>
                      <w:szCs w:val="21"/>
                      <w:highlight w:val="none"/>
                      <w:lang w:eastAsia="zh-CN" w:bidi="ar"/>
                    </w:rPr>
                  </w:pPr>
                  <w:r>
                    <w:rPr>
                      <w:rFonts w:hint="default" w:ascii="Times New Roman" w:hAnsi="Times New Roman" w:eastAsia="宋体" w:cs="Times New Roman"/>
                      <w:color w:val="000000"/>
                      <w:szCs w:val="21"/>
                      <w:highlight w:val="none"/>
                      <w:lang w:eastAsia="zh-CN" w:bidi="ar"/>
                    </w:rPr>
                    <w:t>类比</w:t>
                  </w:r>
                </w:p>
              </w:tc>
              <w:tc>
                <w:tcPr>
                  <w:tcW w:w="1272" w:type="dxa"/>
                  <w:noWrap w:val="0"/>
                  <w:vAlign w:val="center"/>
                </w:tcPr>
                <w:p w14:paraId="28E2970C">
                  <w:pPr>
                    <w:widowControl/>
                    <w:jc w:val="center"/>
                    <w:rPr>
                      <w:rFonts w:hint="default" w:ascii="Times New Roman" w:hAnsi="Times New Roman" w:eastAsia="宋体" w:cs="Times New Roman"/>
                      <w:color w:val="000000"/>
                      <w:szCs w:val="21"/>
                      <w:highlight w:val="none"/>
                      <w:lang w:val="en-US" w:eastAsia="zh-CN" w:bidi="ar"/>
                    </w:rPr>
                  </w:pPr>
                  <w:r>
                    <w:rPr>
                      <w:rFonts w:hint="default" w:ascii="Times New Roman" w:hAnsi="Times New Roman" w:eastAsia="宋体" w:cs="Times New Roman"/>
                      <w:color w:val="000000"/>
                      <w:szCs w:val="21"/>
                      <w:highlight w:val="none"/>
                      <w:lang w:val="en-US" w:eastAsia="zh-CN" w:bidi="ar"/>
                    </w:rPr>
                    <w:t>70</w:t>
                  </w:r>
                </w:p>
              </w:tc>
              <w:tc>
                <w:tcPr>
                  <w:tcW w:w="1033" w:type="dxa"/>
                  <w:noWrap w:val="0"/>
                  <w:vAlign w:val="center"/>
                </w:tcPr>
                <w:p w14:paraId="48F30459">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室内</w:t>
                  </w:r>
                </w:p>
              </w:tc>
            </w:tr>
            <w:tr w14:paraId="6287D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639" w:type="dxa"/>
                  <w:vMerge w:val="continue"/>
                  <w:noWrap w:val="0"/>
                  <w:vAlign w:val="center"/>
                </w:tcPr>
                <w:p w14:paraId="3EB330EB">
                  <w:pPr>
                    <w:widowControl/>
                    <w:jc w:val="center"/>
                    <w:rPr>
                      <w:rFonts w:hint="default" w:ascii="Times New Roman" w:hAnsi="Times New Roman" w:eastAsia="宋体" w:cs="Times New Roman"/>
                      <w:color w:val="000000"/>
                      <w:szCs w:val="21"/>
                      <w:highlight w:val="none"/>
                      <w:lang w:eastAsia="zh-CN" w:bidi="ar"/>
                    </w:rPr>
                  </w:pPr>
                </w:p>
              </w:tc>
              <w:tc>
                <w:tcPr>
                  <w:tcW w:w="1954" w:type="dxa"/>
                  <w:noWrap w:val="0"/>
                  <w:vAlign w:val="center"/>
                </w:tcPr>
                <w:p w14:paraId="4A55320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000000"/>
                      <w:sz w:val="21"/>
                      <w:szCs w:val="21"/>
                      <w:highlight w:val="none"/>
                      <w:lang w:val="en-US" w:eastAsia="zh-CN"/>
                    </w:rPr>
                  </w:pPr>
                  <w:r>
                    <w:rPr>
                      <w:rFonts w:hint="eastAsia" w:eastAsia="宋体" w:cs="Times New Roman"/>
                      <w:bCs/>
                      <w:color w:val="000000"/>
                      <w:sz w:val="21"/>
                      <w:szCs w:val="21"/>
                      <w:highlight w:val="none"/>
                      <w:lang w:val="en-US" w:eastAsia="zh-CN"/>
                    </w:rPr>
                    <w:t>风机</w:t>
                  </w:r>
                </w:p>
              </w:tc>
              <w:tc>
                <w:tcPr>
                  <w:tcW w:w="986" w:type="dxa"/>
                  <w:noWrap w:val="0"/>
                  <w:vAlign w:val="center"/>
                </w:tcPr>
                <w:p w14:paraId="16BF6F53">
                  <w:pPr>
                    <w:spacing w:beforeLines="0" w:afterLines="0" w:line="240" w:lineRule="auto"/>
                    <w:jc w:val="center"/>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1台</w:t>
                  </w:r>
                </w:p>
              </w:tc>
              <w:tc>
                <w:tcPr>
                  <w:tcW w:w="1508" w:type="dxa"/>
                  <w:noWrap w:val="0"/>
                  <w:vAlign w:val="center"/>
                </w:tcPr>
                <w:p w14:paraId="4327AF98">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频发</w:t>
                  </w:r>
                </w:p>
              </w:tc>
              <w:tc>
                <w:tcPr>
                  <w:tcW w:w="1385" w:type="dxa"/>
                  <w:noWrap w:val="0"/>
                  <w:vAlign w:val="center"/>
                </w:tcPr>
                <w:p w14:paraId="087D5BF7">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类比</w:t>
                  </w:r>
                </w:p>
              </w:tc>
              <w:tc>
                <w:tcPr>
                  <w:tcW w:w="1272" w:type="dxa"/>
                  <w:noWrap w:val="0"/>
                  <w:vAlign w:val="center"/>
                </w:tcPr>
                <w:p w14:paraId="0A204559">
                  <w:pPr>
                    <w:widowControl/>
                    <w:jc w:val="center"/>
                    <w:rPr>
                      <w:rFonts w:hint="default" w:ascii="Times New Roman" w:hAnsi="Times New Roman"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85</w:t>
                  </w:r>
                </w:p>
              </w:tc>
              <w:tc>
                <w:tcPr>
                  <w:tcW w:w="1033" w:type="dxa"/>
                  <w:noWrap w:val="0"/>
                  <w:vAlign w:val="center"/>
                </w:tcPr>
                <w:p w14:paraId="6829901C">
                  <w:pPr>
                    <w:widowControl/>
                    <w:jc w:val="center"/>
                    <w:rPr>
                      <w:rFonts w:hint="default" w:eastAsia="宋体" w:cs="Times New Roman"/>
                      <w:color w:val="000000"/>
                      <w:szCs w:val="21"/>
                      <w:highlight w:val="none"/>
                      <w:lang w:val="en-US" w:eastAsia="zh-CN" w:bidi="ar"/>
                    </w:rPr>
                  </w:pPr>
                  <w:r>
                    <w:rPr>
                      <w:rFonts w:hint="eastAsia" w:eastAsia="宋体" w:cs="Times New Roman"/>
                      <w:color w:val="000000"/>
                      <w:szCs w:val="21"/>
                      <w:highlight w:val="none"/>
                      <w:lang w:val="en-US" w:eastAsia="zh-CN" w:bidi="ar"/>
                    </w:rPr>
                    <w:t>室外</w:t>
                  </w:r>
                </w:p>
              </w:tc>
            </w:tr>
          </w:tbl>
          <w:p w14:paraId="314475A7">
            <w:pPr>
              <w:pStyle w:val="46"/>
              <w:spacing w:before="0" w:line="360" w:lineRule="auto"/>
              <w:ind w:left="0"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通过墙体隔声和自然距离衰减（实际生产过程中还有空气吸收引起的衰减、地面效应引起的衰减和绿化林带吸收引起的衰减），项目运行过程中产生的噪声对周边声环境及敏感点影响较小。</w:t>
            </w:r>
          </w:p>
          <w:p w14:paraId="5BA76FC4">
            <w:pPr>
              <w:pStyle w:val="8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1、合理布局，降低企业总体噪声水平，建设项目总图布置时，将噪声大的噪声源尽可能调整放置于生产车间位置，通过距离衰减有效降低了厂区中间位置各类高噪设备噪声源的噪声；</w:t>
            </w:r>
          </w:p>
          <w:p w14:paraId="0BDDE149">
            <w:pPr>
              <w:pStyle w:val="8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对于各种设备，生产设备选用噪声低的设备，已经采取了合理的安装，生产设备的基座在加固的同时要进行必要的减震和减噪声处理，对于产生高噪声的设备，建议建设单位合理安排安装位置，同时经过隔声板、消音棉、机座加固等必要减震减噪声处理，以减少对周围的影响，依据GBT19889.3-2005《声学建筑和建筑构件隔声测量第3部分：建筑构件空气声隔声的实验室测量》，减震和隔声措施等隔声量为5-8dB（A）</w:t>
            </w:r>
            <w:r>
              <w:rPr>
                <w:rFonts w:hint="eastAsia" w:ascii="Times New Roman" w:hAnsi="Times New Roman" w:cs="Times New Roman"/>
                <w:color w:val="auto"/>
                <w:sz w:val="24"/>
                <w:szCs w:val="24"/>
                <w:highlight w:val="none"/>
                <w:lang w:val="en-US" w:eastAsia="zh-CN"/>
              </w:rPr>
              <w:t>，本项目</w:t>
            </w:r>
            <w:r>
              <w:rPr>
                <w:rFonts w:hint="eastAsia" w:ascii="Times New Roman" w:hAnsi="Times New Roman" w:eastAsia="宋体" w:cs="Times New Roman"/>
                <w:color w:val="auto"/>
                <w:kern w:val="2"/>
                <w:sz w:val="24"/>
                <w:szCs w:val="24"/>
                <w:highlight w:val="none"/>
                <w:lang w:val="en-US" w:eastAsia="zh-CN" w:bidi="ar-SA"/>
              </w:rPr>
              <w:t>降噪值取最小值5dB(A)。</w:t>
            </w:r>
          </w:p>
          <w:p w14:paraId="7BAD1734">
            <w:pPr>
              <w:pStyle w:val="8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3、对于生产车间，建议做好隔声墙，利用消音棉、隔声板的隔音、消声措施使噪声能得到较大的衰减，</w:t>
            </w:r>
            <w:bookmarkStart w:id="8" w:name="_Hlk40089813"/>
            <w:r>
              <w:rPr>
                <w:rFonts w:hint="default" w:ascii="Times New Roman" w:hAnsi="Times New Roman" w:cs="Times New Roman"/>
                <w:color w:val="auto"/>
                <w:sz w:val="24"/>
                <w:szCs w:val="24"/>
                <w:highlight w:val="none"/>
                <w:lang w:val="en-US" w:eastAsia="zh-CN"/>
              </w:rPr>
              <w:t>车间的门窗要选用隔离性能良好的铝合金或双层门窗并安装隔音玻璃</w:t>
            </w:r>
            <w:bookmarkEnd w:id="8"/>
            <w:r>
              <w:rPr>
                <w:rFonts w:hint="default" w:ascii="Times New Roman" w:hAnsi="Times New Roman" w:cs="Times New Roman"/>
                <w:color w:val="auto"/>
                <w:sz w:val="24"/>
                <w:szCs w:val="24"/>
                <w:highlight w:val="none"/>
                <w:lang w:val="en-US" w:eastAsia="zh-CN"/>
              </w:rPr>
              <w:t>，并且在靠近敏感点的一侧不设门窗，依据GBT50121-2005《建筑隔声评价标准》，隔声量为20-30dB（A）</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bidi="ar-SA"/>
              </w:rPr>
              <w:t>本项目降噪值取最小值2</w:t>
            </w:r>
            <w:r>
              <w:rPr>
                <w:rFonts w:hint="eastAsia" w:ascii="Times New Roman" w:hAnsi="Times New Roman"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dB(A)。</w:t>
            </w:r>
          </w:p>
          <w:p w14:paraId="1464D0D0">
            <w:pPr>
              <w:spacing w:line="360" w:lineRule="auto"/>
              <w:ind w:firstLine="480" w:firstLineChars="200"/>
              <w:rPr>
                <w:color w:val="auto"/>
                <w:sz w:val="24"/>
                <w:highlight w:val="none"/>
              </w:rPr>
            </w:pPr>
            <w:r>
              <w:rPr>
                <w:color w:val="auto"/>
                <w:sz w:val="24"/>
                <w:highlight w:val="none"/>
                <w:lang w:val="zh-CN"/>
              </w:rPr>
              <w:t>经过以上治理措施，项目</w:t>
            </w:r>
            <w:r>
              <w:rPr>
                <w:rFonts w:hint="eastAsia"/>
                <w:color w:val="auto"/>
                <w:sz w:val="24"/>
                <w:highlight w:val="none"/>
                <w:lang w:val="zh-CN"/>
              </w:rPr>
              <w:t>厂界噪声可达到《工业企业厂界环境噪声排放标准》(GB12348－2008)</w:t>
            </w:r>
            <w:r>
              <w:rPr>
                <w:rFonts w:hint="eastAsia"/>
                <w:color w:val="auto"/>
                <w:sz w:val="24"/>
                <w:highlight w:val="none"/>
              </w:rPr>
              <w:t>3</w:t>
            </w:r>
            <w:r>
              <w:rPr>
                <w:rFonts w:hint="eastAsia"/>
                <w:color w:val="auto"/>
                <w:sz w:val="24"/>
                <w:highlight w:val="none"/>
                <w:lang w:val="zh-CN"/>
              </w:rPr>
              <w:t>类标准</w:t>
            </w:r>
            <w:r>
              <w:rPr>
                <w:color w:val="auto"/>
                <w:sz w:val="24"/>
                <w:highlight w:val="none"/>
                <w:lang w:val="zh-CN"/>
              </w:rPr>
              <w:t>，不会对周边环境产生明显影响</w:t>
            </w:r>
            <w:r>
              <w:rPr>
                <w:color w:val="auto"/>
                <w:sz w:val="24"/>
                <w:highlight w:val="none"/>
              </w:rPr>
              <w:t>。</w:t>
            </w:r>
          </w:p>
          <w:p w14:paraId="207BF125">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为了确保本</w:t>
            </w:r>
            <w:r>
              <w:rPr>
                <w:rFonts w:hint="eastAsia" w:cs="Times New Roman"/>
                <w:color w:val="auto"/>
                <w:sz w:val="24"/>
                <w:highlight w:val="none"/>
                <w:lang w:val="en-US" w:eastAsia="zh-CN"/>
              </w:rPr>
              <w:t>敏感点</w:t>
            </w:r>
            <w:r>
              <w:rPr>
                <w:rFonts w:hint="eastAsia"/>
                <w:color w:val="auto"/>
                <w:sz w:val="24"/>
                <w:highlight w:val="none"/>
                <w:lang w:val="en-US" w:eastAsia="zh-CN"/>
              </w:rPr>
              <w:t>居民公寓</w:t>
            </w:r>
            <w:r>
              <w:rPr>
                <w:rFonts w:hint="eastAsia" w:ascii="Times New Roman" w:hAnsi="Times New Roman" w:eastAsia="宋体" w:cs="Times New Roman"/>
                <w:color w:val="auto"/>
                <w:sz w:val="24"/>
                <w:highlight w:val="none"/>
                <w:lang w:eastAsia="zh-CN"/>
              </w:rPr>
              <w:t>可达到</w:t>
            </w:r>
            <w:r>
              <w:rPr>
                <w:rFonts w:hint="eastAsia" w:cs="Times New Roman"/>
                <w:color w:val="auto"/>
                <w:sz w:val="24"/>
                <w:highlight w:val="none"/>
                <w:lang w:val="en-US" w:eastAsia="zh-CN"/>
              </w:rPr>
              <w:t>环境噪声可达到</w:t>
            </w:r>
            <w:r>
              <w:rPr>
                <w:rFonts w:hint="eastAsia" w:ascii="Times New Roman" w:hAnsi="Times New Roman" w:cs="Times New Roman"/>
                <w:color w:val="auto"/>
                <w:sz w:val="24"/>
                <w:highlight w:val="none"/>
                <w:lang w:val="en-US" w:eastAsia="zh-CN"/>
              </w:rPr>
              <w:t>《声环境质量标准》（GB3096-2008）</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类标准</w:t>
            </w:r>
            <w:r>
              <w:rPr>
                <w:rFonts w:hint="eastAsia" w:ascii="Times New Roman" w:hAnsi="Times New Roman" w:eastAsia="宋体" w:cs="Times New Roman"/>
                <w:color w:val="auto"/>
                <w:sz w:val="24"/>
                <w:highlight w:val="none"/>
                <w:lang w:eastAsia="zh-CN"/>
              </w:rPr>
              <w:t>，本次评价建议建设单位采取以下噪声防治措施：</w:t>
            </w:r>
          </w:p>
          <w:p w14:paraId="35F8B108">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①在设备选型方面，在满足工艺生产的前提下，选用精度高、装配质量好、噪声低的设备；对于某些高噪声设备，可</w:t>
            </w:r>
            <w:r>
              <w:rPr>
                <w:rFonts w:hint="eastAsia" w:cs="Times New Roman"/>
                <w:color w:val="auto"/>
                <w:sz w:val="24"/>
                <w:highlight w:val="none"/>
                <w:lang w:val="en-US" w:eastAsia="zh-CN"/>
              </w:rPr>
              <w:t>加装橡胶垫进行</w:t>
            </w:r>
            <w:r>
              <w:rPr>
                <w:rFonts w:hint="eastAsia" w:ascii="Times New Roman" w:hAnsi="Times New Roman" w:eastAsia="宋体" w:cs="Times New Roman"/>
                <w:color w:val="auto"/>
                <w:sz w:val="24"/>
                <w:highlight w:val="none"/>
                <w:lang w:eastAsia="zh-CN"/>
              </w:rPr>
              <w:t>隔振、减震</w:t>
            </w:r>
            <w:r>
              <w:rPr>
                <w:rFonts w:hint="eastAsia" w:cs="Times New Roman"/>
                <w:color w:val="auto"/>
                <w:sz w:val="24"/>
                <w:highlight w:val="none"/>
                <w:lang w:val="en-US" w:eastAsia="zh-CN"/>
              </w:rPr>
              <w:t>或加设隔音板进行围蔽</w:t>
            </w:r>
            <w:r>
              <w:rPr>
                <w:rFonts w:hint="eastAsia" w:ascii="Times New Roman" w:hAnsi="Times New Roman" w:eastAsia="宋体" w:cs="Times New Roman"/>
                <w:color w:val="auto"/>
                <w:sz w:val="24"/>
                <w:highlight w:val="none"/>
                <w:lang w:eastAsia="zh-CN"/>
              </w:rPr>
              <w:t>，以此减少噪声的产生。</w:t>
            </w:r>
            <w:r>
              <w:rPr>
                <w:rFonts w:hint="eastAsia" w:ascii="Times New Roman" w:hAnsi="Times New Roman" w:eastAsia="宋体" w:cs="Times New Roman"/>
                <w:color w:val="auto"/>
                <w:kern w:val="2"/>
                <w:sz w:val="24"/>
                <w:szCs w:val="24"/>
                <w:highlight w:val="none"/>
                <w:lang w:val="en-US" w:eastAsia="zh-CN" w:bidi="ar-SA"/>
              </w:rPr>
              <w:t>根据《环境工程手册 环境噪声控制卷》：噪声通过墙体隔声大约可降噪25-30dB(A)。项目生产车间为标准厂房，车间墙体门窗采取隔声消声措施，生产过程中关闭车间门窗，墙体密闭；合理布局噪声源，高噪声设备均匀布置在车间内，保守起见，本项目降噪值取最小值25dB(A)。</w:t>
            </w:r>
          </w:p>
          <w:p w14:paraId="447E442C">
            <w:pPr>
              <w:pStyle w:val="12"/>
              <w:spacing w:before="0" w:line="360" w:lineRule="auto"/>
              <w:ind w:left="0"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②合理布局，</w:t>
            </w:r>
            <w:r>
              <w:rPr>
                <w:rFonts w:hint="eastAsia" w:ascii="Times New Roman" w:hAnsi="Times New Roman" w:eastAsia="宋体" w:cs="Times New Roman"/>
                <w:color w:val="auto"/>
                <w:sz w:val="24"/>
                <w:highlight w:val="none"/>
                <w:lang w:val="en-US" w:eastAsia="zh-CN"/>
              </w:rPr>
              <w:t>项目西北侧与敏感点距离为</w:t>
            </w:r>
            <w:r>
              <w:rPr>
                <w:rFonts w:hint="eastAsia"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米，</w:t>
            </w:r>
            <w:r>
              <w:rPr>
                <w:rFonts w:hint="eastAsia" w:ascii="Times New Roman" w:hAnsi="Times New Roman" w:eastAsia="宋体" w:cs="Times New Roman"/>
                <w:color w:val="auto"/>
                <w:sz w:val="24"/>
                <w:highlight w:val="none"/>
                <w:lang w:eastAsia="zh-CN"/>
              </w:rPr>
              <w:t>尽量将设备布置在远离厂区边界的位置，尽量将高噪声设备布置在厂房</w:t>
            </w:r>
            <w:r>
              <w:rPr>
                <w:rFonts w:hint="eastAsia" w:cs="Times New Roman"/>
                <w:color w:val="auto"/>
                <w:sz w:val="24"/>
                <w:highlight w:val="none"/>
                <w:lang w:val="en-US" w:eastAsia="zh-CN"/>
              </w:rPr>
              <w:t>东南侧</w:t>
            </w:r>
            <w:r>
              <w:rPr>
                <w:rFonts w:hint="eastAsia" w:ascii="Times New Roman" w:hAnsi="Times New Roman" w:eastAsia="宋体" w:cs="Times New Roman"/>
                <w:color w:val="auto"/>
                <w:sz w:val="24"/>
                <w:highlight w:val="none"/>
                <w:lang w:eastAsia="zh-CN"/>
              </w:rPr>
              <w:t>位置，同时考虑利用构筑物、建筑物等来阻隔车间噪声的传播</w:t>
            </w:r>
            <w:r>
              <w:rPr>
                <w:rFonts w:hint="eastAsia" w:cs="Times New Roman"/>
                <w:color w:val="auto"/>
                <w:sz w:val="24"/>
                <w:highlight w:val="none"/>
                <w:lang w:eastAsia="zh-CN"/>
              </w:rPr>
              <w:t>，</w:t>
            </w:r>
            <w:r>
              <w:rPr>
                <w:rFonts w:hint="eastAsia" w:cs="Times New Roman"/>
                <w:color w:val="auto"/>
                <w:sz w:val="24"/>
                <w:highlight w:val="none"/>
                <w:lang w:val="en-US" w:eastAsia="zh-CN"/>
              </w:rPr>
              <w:t>西北</w:t>
            </w:r>
            <w:r>
              <w:rPr>
                <w:rFonts w:hint="eastAsia" w:ascii="Times New Roman" w:hAnsi="Times New Roman" w:eastAsia="宋体" w:cs="Times New Roman"/>
                <w:color w:val="auto"/>
                <w:sz w:val="24"/>
                <w:highlight w:val="none"/>
                <w:lang w:val="en-US" w:eastAsia="zh-CN"/>
              </w:rPr>
              <w:t>侧靠近敏感点</w:t>
            </w:r>
            <w:r>
              <w:rPr>
                <w:rFonts w:hint="eastAsia" w:cs="Times New Roman"/>
                <w:color w:val="auto"/>
                <w:sz w:val="24"/>
                <w:highlight w:val="none"/>
                <w:lang w:val="en-US" w:eastAsia="zh-CN"/>
              </w:rPr>
              <w:t>不设置门窗，靠西侧设置仓库</w:t>
            </w:r>
            <w:r>
              <w:rPr>
                <w:rFonts w:hint="eastAsia" w:ascii="Times New Roman" w:hAnsi="Times New Roman" w:eastAsia="宋体" w:cs="Times New Roman"/>
                <w:color w:val="auto"/>
                <w:sz w:val="24"/>
                <w:highlight w:val="none"/>
                <w:lang w:eastAsia="zh-CN"/>
              </w:rPr>
              <w:t>，减小对声环境的影响。</w:t>
            </w:r>
            <w:r>
              <w:rPr>
                <w:rFonts w:hint="eastAsia" w:cs="Times New Roman"/>
                <w:color w:val="auto"/>
                <w:sz w:val="24"/>
                <w:highlight w:val="none"/>
                <w:lang w:val="en-US" w:eastAsia="zh-CN"/>
              </w:rPr>
              <w:t>废气处理设施配套风机应设置在项目东南侧，并设置在隔音间内，定期对设施进行维护，避免产生异常噪声</w:t>
            </w:r>
            <w:r>
              <w:rPr>
                <w:rFonts w:hint="eastAsia" w:ascii="Times New Roman" w:hAnsi="Times New Roman" w:cs="Times New Roman"/>
                <w:color w:val="auto"/>
                <w:sz w:val="24"/>
                <w:highlight w:val="none"/>
                <w:lang w:eastAsia="zh-CN"/>
              </w:rPr>
              <w:t>。</w:t>
            </w:r>
          </w:p>
          <w:p w14:paraId="34B83C9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eastAsia="zh-CN"/>
              </w:rPr>
              <w:t>③加强设备管理，生产设备定期维护、保养，防止设备出现故障，产生的非生产噪声；</w:t>
            </w:r>
            <w:r>
              <w:rPr>
                <w:rFonts w:hint="eastAsia" w:ascii="Times New Roman" w:hAnsi="Times New Roman" w:eastAsia="宋体" w:cs="Times New Roman"/>
                <w:color w:val="auto"/>
                <w:sz w:val="24"/>
                <w:highlight w:val="none"/>
                <w:lang w:val="en-US" w:eastAsia="zh-CN"/>
              </w:rPr>
              <w:t>项目夜间不生产。</w:t>
            </w:r>
          </w:p>
          <w:p w14:paraId="277B973A">
            <w:pPr>
              <w:pStyle w:val="12"/>
              <w:spacing w:before="0" w:line="360" w:lineRule="auto"/>
              <w:ind w:left="0"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④空压机和废气处理设施配套风机应设置在隔音间内，设置位置应靠东南北侧远离敏感点，定期对设施进行维护，避免产生异常噪声</w:t>
            </w:r>
            <w:r>
              <w:rPr>
                <w:rFonts w:hint="eastAsia" w:ascii="Times New Roman" w:hAnsi="Times New Roman" w:cs="Times New Roman"/>
                <w:color w:val="auto"/>
                <w:sz w:val="24"/>
                <w:highlight w:val="none"/>
                <w:lang w:eastAsia="zh-CN"/>
              </w:rPr>
              <w:t>。</w:t>
            </w:r>
          </w:p>
          <w:p w14:paraId="261CEAB9">
            <w:pPr>
              <w:spacing w:line="360" w:lineRule="auto"/>
              <w:ind w:firstLine="480" w:firstLineChars="200"/>
              <w:rPr>
                <w:color w:val="auto"/>
                <w:highlight w:val="none"/>
              </w:rPr>
            </w:pPr>
            <w:r>
              <w:rPr>
                <w:rFonts w:hint="eastAsia" w:cs="Times New Roman"/>
                <w:color w:val="auto"/>
                <w:sz w:val="24"/>
                <w:highlight w:val="none"/>
                <w:lang w:val="en-US" w:eastAsia="zh-CN"/>
              </w:rPr>
              <w:t>经过以上防治措施，敏感点居民公寓环境噪声可达到《声环境质量标准》（GB3096-2008）2类标准。</w:t>
            </w:r>
          </w:p>
          <w:p w14:paraId="6B6B4213">
            <w:pPr>
              <w:pStyle w:val="46"/>
              <w:spacing w:before="0" w:line="360" w:lineRule="auto"/>
              <w:ind w:left="0" w:firstLine="482" w:firstLineChars="200"/>
              <w:rPr>
                <w:b/>
                <w:color w:val="auto"/>
                <w:highlight w:val="none"/>
              </w:rPr>
            </w:pPr>
            <w:r>
              <w:rPr>
                <w:b/>
                <w:color w:val="auto"/>
                <w:highlight w:val="none"/>
              </w:rPr>
              <w:t>（2）噪声环境监测计划</w:t>
            </w:r>
          </w:p>
          <w:p w14:paraId="321BB6C6">
            <w:pPr>
              <w:spacing w:line="360" w:lineRule="auto"/>
              <w:ind w:firstLine="480" w:firstLineChars="200"/>
              <w:rPr>
                <w:b/>
                <w:bCs/>
                <w:color w:val="auto"/>
                <w:highlight w:val="none"/>
              </w:rPr>
            </w:pPr>
            <w:r>
              <w:rPr>
                <w:color w:val="auto"/>
                <w:sz w:val="24"/>
                <w:highlight w:val="none"/>
              </w:rPr>
              <w:t>本项目污染源监测计划见下表。</w:t>
            </w:r>
          </w:p>
          <w:p w14:paraId="3EA93C3E">
            <w:pPr>
              <w:pStyle w:val="95"/>
              <w:spacing w:before="120"/>
              <w:ind w:left="0"/>
              <w:rPr>
                <w:b/>
                <w:bCs/>
                <w:color w:val="auto"/>
                <w:sz w:val="21"/>
                <w:szCs w:val="21"/>
                <w:highlight w:val="none"/>
              </w:rPr>
            </w:pPr>
            <w:r>
              <w:rPr>
                <w:b/>
                <w:bCs/>
                <w:color w:val="auto"/>
                <w:sz w:val="21"/>
                <w:szCs w:val="21"/>
                <w:highlight w:val="none"/>
              </w:rPr>
              <w:t>噪声监测方案</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18"/>
              <w:gridCol w:w="1695"/>
              <w:gridCol w:w="1594"/>
              <w:gridCol w:w="4435"/>
            </w:tblGrid>
            <w:tr w14:paraId="765CF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tcBorders>
                    <w:top w:val="single" w:color="auto" w:sz="4" w:space="0"/>
                    <w:left w:val="single" w:color="auto" w:sz="4" w:space="0"/>
                    <w:bottom w:val="single" w:color="auto" w:sz="4" w:space="0"/>
                    <w:right w:val="single" w:color="auto" w:sz="4" w:space="0"/>
                  </w:tcBorders>
                  <w:shd w:val="clear" w:color="auto" w:fill="auto"/>
                  <w:vAlign w:val="center"/>
                </w:tcPr>
                <w:p w14:paraId="1687816B">
                  <w:pPr>
                    <w:jc w:val="center"/>
                    <w:rPr>
                      <w:b/>
                      <w:color w:val="auto"/>
                      <w:szCs w:val="21"/>
                      <w:highlight w:val="none"/>
                    </w:rPr>
                  </w:pPr>
                  <w:r>
                    <w:rPr>
                      <w:b/>
                      <w:color w:val="auto"/>
                      <w:szCs w:val="21"/>
                      <w:highlight w:val="none"/>
                      <w:lang w:bidi="en-AU"/>
                    </w:rPr>
                    <w:t>监测点位</w:t>
                  </w:r>
                </w:p>
              </w:tc>
              <w:tc>
                <w:tcPr>
                  <w:tcW w:w="958" w:type="pct"/>
                  <w:tcBorders>
                    <w:top w:val="single" w:color="auto" w:sz="4" w:space="0"/>
                    <w:left w:val="single" w:color="auto" w:sz="4" w:space="0"/>
                    <w:bottom w:val="single" w:color="auto" w:sz="4" w:space="0"/>
                    <w:right w:val="single" w:color="auto" w:sz="4" w:space="0"/>
                  </w:tcBorders>
                  <w:shd w:val="clear" w:color="auto" w:fill="auto"/>
                  <w:vAlign w:val="center"/>
                </w:tcPr>
                <w:p w14:paraId="174FD117">
                  <w:pPr>
                    <w:jc w:val="center"/>
                    <w:rPr>
                      <w:b/>
                      <w:color w:val="auto"/>
                      <w:szCs w:val="21"/>
                      <w:highlight w:val="none"/>
                    </w:rPr>
                  </w:pPr>
                  <w:r>
                    <w:rPr>
                      <w:b/>
                      <w:color w:val="auto"/>
                      <w:szCs w:val="21"/>
                      <w:highlight w:val="none"/>
                      <w:lang w:bidi="en-AU"/>
                    </w:rPr>
                    <w:t>监测指标</w:t>
                  </w:r>
                </w:p>
              </w:tc>
              <w:tc>
                <w:tcPr>
                  <w:tcW w:w="901" w:type="pct"/>
                  <w:tcBorders>
                    <w:top w:val="single" w:color="auto" w:sz="4" w:space="0"/>
                    <w:left w:val="single" w:color="auto" w:sz="4" w:space="0"/>
                    <w:bottom w:val="single" w:color="auto" w:sz="4" w:space="0"/>
                    <w:right w:val="single" w:color="auto" w:sz="4" w:space="0"/>
                  </w:tcBorders>
                  <w:shd w:val="clear" w:color="auto" w:fill="auto"/>
                  <w:vAlign w:val="center"/>
                </w:tcPr>
                <w:p w14:paraId="0658F5CD">
                  <w:pPr>
                    <w:jc w:val="center"/>
                    <w:rPr>
                      <w:b/>
                      <w:color w:val="auto"/>
                      <w:szCs w:val="21"/>
                      <w:highlight w:val="none"/>
                    </w:rPr>
                  </w:pPr>
                  <w:r>
                    <w:rPr>
                      <w:b/>
                      <w:color w:val="auto"/>
                      <w:szCs w:val="21"/>
                      <w:highlight w:val="none"/>
                      <w:lang w:bidi="en-AU"/>
                    </w:rPr>
                    <w:t>监测频次</w:t>
                  </w:r>
                </w:p>
              </w:tc>
              <w:tc>
                <w:tcPr>
                  <w:tcW w:w="2507" w:type="pct"/>
                  <w:tcBorders>
                    <w:top w:val="single" w:color="auto" w:sz="4" w:space="0"/>
                    <w:left w:val="single" w:color="auto" w:sz="4" w:space="0"/>
                    <w:bottom w:val="single" w:color="auto" w:sz="4" w:space="0"/>
                    <w:right w:val="single" w:color="auto" w:sz="4" w:space="0"/>
                  </w:tcBorders>
                  <w:shd w:val="clear" w:color="auto" w:fill="auto"/>
                  <w:vAlign w:val="center"/>
                </w:tcPr>
                <w:p w14:paraId="6078CE3C">
                  <w:pPr>
                    <w:jc w:val="center"/>
                    <w:rPr>
                      <w:b/>
                      <w:color w:val="auto"/>
                      <w:szCs w:val="21"/>
                      <w:highlight w:val="none"/>
                    </w:rPr>
                  </w:pPr>
                  <w:r>
                    <w:rPr>
                      <w:b/>
                      <w:color w:val="auto"/>
                      <w:szCs w:val="21"/>
                      <w:highlight w:val="none"/>
                      <w:lang w:bidi="en-AU"/>
                    </w:rPr>
                    <w:t>执行排放标准</w:t>
                  </w:r>
                </w:p>
              </w:tc>
            </w:tr>
            <w:tr w14:paraId="37F78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tcBorders>
                    <w:top w:val="single" w:color="auto" w:sz="4" w:space="0"/>
                    <w:left w:val="single" w:color="auto" w:sz="4" w:space="0"/>
                    <w:bottom w:val="single" w:color="auto" w:sz="4" w:space="0"/>
                    <w:right w:val="single" w:color="auto" w:sz="4" w:space="0"/>
                  </w:tcBorders>
                  <w:shd w:val="clear" w:color="auto" w:fill="auto"/>
                  <w:vAlign w:val="center"/>
                </w:tcPr>
                <w:p w14:paraId="63BF171E">
                  <w:pPr>
                    <w:snapToGrid w:val="0"/>
                    <w:jc w:val="center"/>
                    <w:rPr>
                      <w:rFonts w:hint="eastAsia"/>
                      <w:color w:val="auto"/>
                      <w:kern w:val="0"/>
                      <w:szCs w:val="21"/>
                      <w:highlight w:val="none"/>
                      <w:lang w:bidi="en-AU"/>
                    </w:rPr>
                  </w:pPr>
                  <w:r>
                    <w:rPr>
                      <w:rFonts w:hint="eastAsia"/>
                      <w:color w:val="auto"/>
                      <w:kern w:val="0"/>
                      <w:szCs w:val="21"/>
                      <w:highlight w:val="none"/>
                      <w:lang w:bidi="en-AU"/>
                    </w:rPr>
                    <w:t>厂界</w:t>
                  </w:r>
                </w:p>
              </w:tc>
              <w:tc>
                <w:tcPr>
                  <w:tcW w:w="958" w:type="pct"/>
                  <w:tcBorders>
                    <w:top w:val="single" w:color="auto" w:sz="4" w:space="0"/>
                    <w:left w:val="single" w:color="auto" w:sz="4" w:space="0"/>
                    <w:bottom w:val="single" w:color="auto" w:sz="4" w:space="0"/>
                    <w:right w:val="single" w:color="auto" w:sz="4" w:space="0"/>
                  </w:tcBorders>
                  <w:shd w:val="clear" w:color="auto" w:fill="auto"/>
                  <w:vAlign w:val="center"/>
                </w:tcPr>
                <w:p w14:paraId="7E5DBCEA">
                  <w:pPr>
                    <w:autoSpaceDE w:val="0"/>
                    <w:autoSpaceDN w:val="0"/>
                    <w:adjustRightInd w:val="0"/>
                    <w:jc w:val="center"/>
                    <w:rPr>
                      <w:color w:val="auto"/>
                      <w:kern w:val="0"/>
                      <w:szCs w:val="21"/>
                      <w:highlight w:val="none"/>
                      <w:lang w:bidi="en-AU"/>
                    </w:rPr>
                  </w:pPr>
                  <w:r>
                    <w:rPr>
                      <w:color w:val="auto"/>
                      <w:kern w:val="0"/>
                      <w:szCs w:val="21"/>
                      <w:highlight w:val="none"/>
                      <w:lang w:bidi="en-AU"/>
                    </w:rPr>
                    <w:t>噪声</w:t>
                  </w:r>
                </w:p>
              </w:tc>
              <w:tc>
                <w:tcPr>
                  <w:tcW w:w="901" w:type="pct"/>
                  <w:tcBorders>
                    <w:top w:val="single" w:color="auto" w:sz="4" w:space="0"/>
                    <w:left w:val="single" w:color="auto" w:sz="4" w:space="0"/>
                    <w:bottom w:val="single" w:color="auto" w:sz="4" w:space="0"/>
                    <w:right w:val="single" w:color="auto" w:sz="4" w:space="0"/>
                  </w:tcBorders>
                  <w:shd w:val="clear" w:color="auto" w:fill="auto"/>
                  <w:vAlign w:val="center"/>
                </w:tcPr>
                <w:p w14:paraId="52F7C783">
                  <w:pPr>
                    <w:jc w:val="center"/>
                    <w:rPr>
                      <w:bCs/>
                      <w:color w:val="auto"/>
                      <w:szCs w:val="21"/>
                      <w:highlight w:val="none"/>
                      <w:lang w:bidi="en-AU"/>
                    </w:rPr>
                  </w:pPr>
                  <w:r>
                    <w:rPr>
                      <w:bCs/>
                      <w:color w:val="auto"/>
                      <w:szCs w:val="21"/>
                      <w:highlight w:val="none"/>
                      <w:lang w:bidi="en-AU"/>
                    </w:rPr>
                    <w:t>1次/季</w:t>
                  </w:r>
                </w:p>
              </w:tc>
              <w:tc>
                <w:tcPr>
                  <w:tcW w:w="2507" w:type="pct"/>
                  <w:tcBorders>
                    <w:top w:val="single" w:color="auto" w:sz="4" w:space="0"/>
                    <w:left w:val="single" w:color="auto" w:sz="4" w:space="0"/>
                    <w:bottom w:val="single" w:color="auto" w:sz="4" w:space="0"/>
                    <w:right w:val="single" w:color="auto" w:sz="4" w:space="0"/>
                  </w:tcBorders>
                  <w:shd w:val="clear" w:color="auto" w:fill="auto"/>
                  <w:vAlign w:val="center"/>
                </w:tcPr>
                <w:p w14:paraId="406655AE">
                  <w:pPr>
                    <w:jc w:val="center"/>
                    <w:rPr>
                      <w:bCs/>
                      <w:color w:val="auto"/>
                      <w:szCs w:val="21"/>
                      <w:highlight w:val="none"/>
                      <w:lang w:val="zh-CN" w:bidi="en-AU"/>
                    </w:rPr>
                  </w:pPr>
                  <w:r>
                    <w:rPr>
                      <w:bCs/>
                      <w:color w:val="auto"/>
                      <w:szCs w:val="21"/>
                      <w:highlight w:val="none"/>
                      <w:lang w:val="zh-CN" w:bidi="en-AU"/>
                    </w:rPr>
                    <w:t>《工业企业厂界环境噪声排放标准》(GB12348－2008)</w:t>
                  </w:r>
                  <w:r>
                    <w:rPr>
                      <w:rFonts w:hint="eastAsia"/>
                      <w:bCs/>
                      <w:color w:val="auto"/>
                      <w:szCs w:val="21"/>
                      <w:highlight w:val="none"/>
                      <w:lang w:bidi="en-AU"/>
                    </w:rPr>
                    <w:t>3</w:t>
                  </w:r>
                  <w:r>
                    <w:rPr>
                      <w:bCs/>
                      <w:color w:val="auto"/>
                      <w:szCs w:val="21"/>
                      <w:highlight w:val="none"/>
                      <w:lang w:val="zh-CN" w:bidi="en-AU"/>
                    </w:rPr>
                    <w:t>类标准</w:t>
                  </w:r>
                </w:p>
              </w:tc>
            </w:tr>
          </w:tbl>
          <w:p w14:paraId="67BDB07A">
            <w:pPr>
              <w:spacing w:before="120" w:beforeLines="50" w:line="360" w:lineRule="auto"/>
              <w:ind w:firstLine="482" w:firstLineChars="200"/>
              <w:rPr>
                <w:b/>
                <w:bCs/>
                <w:color w:val="auto"/>
                <w:sz w:val="24"/>
                <w:highlight w:val="none"/>
              </w:rPr>
            </w:pPr>
            <w:r>
              <w:rPr>
                <w:rFonts w:hint="eastAsia"/>
                <w:b/>
                <w:bCs/>
                <w:color w:val="auto"/>
                <w:sz w:val="24"/>
                <w:highlight w:val="none"/>
              </w:rPr>
              <w:t>四、</w:t>
            </w:r>
            <w:r>
              <w:rPr>
                <w:b/>
                <w:bCs/>
                <w:color w:val="auto"/>
                <w:sz w:val="24"/>
                <w:highlight w:val="none"/>
              </w:rPr>
              <w:t>固体废物</w:t>
            </w:r>
            <w:r>
              <w:rPr>
                <w:rFonts w:hint="eastAsia"/>
                <w:b/>
                <w:bCs/>
                <w:color w:val="auto"/>
                <w:sz w:val="24"/>
                <w:highlight w:val="none"/>
              </w:rPr>
              <w:t>影响分析</w:t>
            </w:r>
          </w:p>
          <w:p w14:paraId="16CEDAAB">
            <w:pPr>
              <w:pStyle w:val="44"/>
              <w:spacing w:after="0" w:line="360" w:lineRule="auto"/>
              <w:ind w:firstLine="480" w:firstLineChars="200"/>
              <w:rPr>
                <w:color w:val="auto"/>
                <w:sz w:val="24"/>
                <w:highlight w:val="none"/>
              </w:rPr>
            </w:pPr>
            <w:r>
              <w:rPr>
                <w:color w:val="auto"/>
                <w:sz w:val="24"/>
                <w:highlight w:val="none"/>
              </w:rPr>
              <w:t>①本项目生产过程中所产生的固体废弃物如下：</w:t>
            </w:r>
          </w:p>
          <w:p w14:paraId="3AB64A98">
            <w:pPr>
              <w:pStyle w:val="44"/>
              <w:spacing w:after="0" w:line="360" w:lineRule="auto"/>
              <w:ind w:firstLine="480" w:firstLineChars="200"/>
              <w:rPr>
                <w:color w:val="auto"/>
                <w:sz w:val="24"/>
                <w:highlight w:val="none"/>
              </w:rPr>
            </w:pPr>
            <w:r>
              <w:rPr>
                <w:color w:val="auto"/>
                <w:sz w:val="24"/>
                <w:highlight w:val="none"/>
              </w:rPr>
              <w:t>（1）生活垃圾（0.5kg/人•日），生活垃圾产生量为</w:t>
            </w:r>
            <w:r>
              <w:rPr>
                <w:rFonts w:hint="eastAsia"/>
                <w:color w:val="auto"/>
                <w:sz w:val="24"/>
                <w:highlight w:val="none"/>
                <w:lang w:val="en-US" w:eastAsia="zh-CN"/>
              </w:rPr>
              <w:t>30</w:t>
            </w:r>
            <w:r>
              <w:rPr>
                <w:color w:val="auto"/>
                <w:sz w:val="24"/>
                <w:highlight w:val="none"/>
              </w:rPr>
              <w:t>kg/d</w:t>
            </w:r>
            <w:r>
              <w:rPr>
                <w:color w:val="auto"/>
                <w:spacing w:val="-10"/>
                <w:sz w:val="24"/>
                <w:highlight w:val="none"/>
              </w:rPr>
              <w:t>（</w:t>
            </w:r>
            <w:r>
              <w:rPr>
                <w:rFonts w:hint="eastAsia"/>
                <w:color w:val="auto"/>
                <w:spacing w:val="-10"/>
                <w:sz w:val="24"/>
                <w:highlight w:val="none"/>
                <w:lang w:val="en-US" w:eastAsia="zh-CN"/>
              </w:rPr>
              <w:t>9</w:t>
            </w:r>
            <w:r>
              <w:rPr>
                <w:rFonts w:hint="eastAsia"/>
                <w:color w:val="auto"/>
                <w:spacing w:val="-10"/>
                <w:sz w:val="24"/>
                <w:highlight w:val="none"/>
              </w:rPr>
              <w:t>t</w:t>
            </w:r>
            <w:r>
              <w:rPr>
                <w:color w:val="auto"/>
                <w:spacing w:val="-10"/>
                <w:sz w:val="24"/>
                <w:highlight w:val="none"/>
              </w:rPr>
              <w:t>/a）</w:t>
            </w:r>
            <w:r>
              <w:rPr>
                <w:color w:val="auto"/>
                <w:sz w:val="24"/>
                <w:highlight w:val="none"/>
              </w:rPr>
              <w:t>。设置生活垃圾分类收集桶，集中放置在指定地点，由环卫部门清运，不会对环境造成影响。</w:t>
            </w:r>
          </w:p>
          <w:p w14:paraId="368126DC">
            <w:pPr>
              <w:pStyle w:val="44"/>
              <w:spacing w:after="0" w:line="360" w:lineRule="auto"/>
              <w:ind w:firstLine="480" w:firstLineChars="200"/>
              <w:rPr>
                <w:color w:val="auto"/>
                <w:sz w:val="24"/>
                <w:highlight w:val="none"/>
              </w:rPr>
            </w:pPr>
            <w:r>
              <w:rPr>
                <w:color w:val="auto"/>
                <w:sz w:val="24"/>
                <w:highlight w:val="none"/>
              </w:rPr>
              <w:t>（2）一般固体废物：</w:t>
            </w:r>
          </w:p>
          <w:p w14:paraId="24DFC781">
            <w:pPr>
              <w:pStyle w:val="44"/>
              <w:spacing w:after="0" w:line="360" w:lineRule="auto"/>
              <w:ind w:firstLine="480" w:firstLineChars="200"/>
              <w:rPr>
                <w:color w:val="auto"/>
                <w:sz w:val="24"/>
                <w:highlight w:val="none"/>
              </w:rPr>
            </w:pPr>
            <w:r>
              <w:rPr>
                <w:rFonts w:hint="eastAsia"/>
                <w:color w:val="auto"/>
                <w:sz w:val="24"/>
                <w:highlight w:val="none"/>
              </w:rPr>
              <w:t>①</w:t>
            </w:r>
            <w:r>
              <w:rPr>
                <w:rFonts w:hint="eastAsia" w:ascii="Times New Roman" w:hAnsi="Times New Roman" w:eastAsia="宋体" w:cs="Times New Roman"/>
                <w:color w:val="auto"/>
                <w:sz w:val="24"/>
                <w:highlight w:val="none"/>
                <w:lang w:val="en-US" w:eastAsia="zh-CN"/>
              </w:rPr>
              <w:t>一般</w:t>
            </w:r>
            <w:r>
              <w:rPr>
                <w:rFonts w:hint="eastAsia"/>
                <w:color w:val="auto"/>
                <w:sz w:val="24"/>
                <w:highlight w:val="none"/>
                <w:lang w:val="en-US" w:eastAsia="zh-CN"/>
              </w:rPr>
              <w:t>废</w:t>
            </w:r>
            <w:r>
              <w:rPr>
                <w:rFonts w:hint="eastAsia"/>
                <w:color w:val="auto"/>
                <w:sz w:val="24"/>
                <w:highlight w:val="none"/>
                <w:lang w:eastAsia="zh-CN"/>
              </w:rPr>
              <w:t>包装</w:t>
            </w:r>
            <w:r>
              <w:rPr>
                <w:rFonts w:hint="eastAsia"/>
                <w:color w:val="auto"/>
                <w:sz w:val="24"/>
                <w:highlight w:val="none"/>
                <w:lang w:val="en-US" w:eastAsia="zh-CN"/>
              </w:rPr>
              <w:t>袋</w:t>
            </w:r>
            <w:r>
              <w:rPr>
                <w:rFonts w:hint="eastAsia"/>
                <w:color w:val="auto"/>
                <w:sz w:val="24"/>
                <w:highlight w:val="none"/>
                <w:lang w:eastAsia="zh-CN"/>
              </w:rPr>
              <w:t>：</w:t>
            </w:r>
            <w:r>
              <w:rPr>
                <w:rFonts w:hint="eastAsia"/>
                <w:color w:val="auto"/>
                <w:sz w:val="24"/>
                <w:highlight w:val="none"/>
                <w:lang w:val="en-US" w:eastAsia="zh-CN"/>
              </w:rPr>
              <w:t>项目生产过程产生废包装袋，主要为塑料新粒包装袋、色粉包装袋，包装规格均为25kg/袋，项目塑料新粒、色粉总年用量为40.5t/a，项目废包装袋年产生量为1620个，平均每个包装袋重0.1kg，则项目废包装袋年产生量为0.162t/a。</w:t>
            </w:r>
          </w:p>
          <w:p w14:paraId="2DF3685B">
            <w:pPr>
              <w:pStyle w:val="10"/>
              <w:keepLines/>
              <w:wordWrap w:val="0"/>
              <w:topLinePunct/>
              <w:spacing w:before="0" w:after="0" w:line="360" w:lineRule="auto"/>
              <w:ind w:right="0" w:firstLine="480" w:firstLineChars="200"/>
              <w:rPr>
                <w:rFonts w:hint="eastAsia"/>
                <w:color w:val="auto"/>
                <w:sz w:val="24"/>
              </w:rPr>
            </w:pPr>
            <w:r>
              <w:rPr>
                <w:color w:val="auto"/>
                <w:sz w:val="24"/>
              </w:rPr>
              <w:t>②</w:t>
            </w:r>
            <w:r>
              <w:rPr>
                <w:rFonts w:hint="eastAsia"/>
                <w:color w:val="auto"/>
                <w:sz w:val="24"/>
              </w:rPr>
              <w:t>塑料配件次品：项目生产过程中产生少量</w:t>
            </w:r>
            <w:r>
              <w:rPr>
                <w:rFonts w:hint="eastAsia"/>
                <w:color w:val="auto"/>
                <w:sz w:val="24"/>
                <w:lang w:val="en-US" w:eastAsia="zh-CN"/>
              </w:rPr>
              <w:t>次品</w:t>
            </w:r>
            <w:r>
              <w:rPr>
                <w:rFonts w:hint="eastAsia"/>
                <w:color w:val="auto"/>
                <w:sz w:val="24"/>
              </w:rPr>
              <w:t>，</w:t>
            </w:r>
            <w:r>
              <w:rPr>
                <w:rFonts w:hint="eastAsia"/>
                <w:color w:val="auto"/>
                <w:sz w:val="24"/>
                <w:lang w:val="en-US" w:eastAsia="zh-CN"/>
              </w:rPr>
              <w:t>经过多次破碎无法再回用，</w:t>
            </w:r>
            <w:r>
              <w:rPr>
                <w:rFonts w:hint="eastAsia"/>
                <w:color w:val="auto"/>
                <w:sz w:val="24"/>
              </w:rPr>
              <w:t>根据物料平衡，年产生塑料</w:t>
            </w:r>
            <w:r>
              <w:rPr>
                <w:rFonts w:hint="eastAsia"/>
                <w:color w:val="auto"/>
                <w:sz w:val="24"/>
                <w:lang w:val="en-US" w:eastAsia="zh-CN"/>
              </w:rPr>
              <w:t>配件</w:t>
            </w:r>
            <w:r>
              <w:rPr>
                <w:rFonts w:hint="eastAsia"/>
                <w:color w:val="auto"/>
                <w:sz w:val="24"/>
              </w:rPr>
              <w:t>次品=原材料总重量-废气产生量-产品重量=</w:t>
            </w:r>
            <w:r>
              <w:rPr>
                <w:rFonts w:hint="eastAsia"/>
                <w:color w:val="auto"/>
                <w:sz w:val="24"/>
                <w:lang w:val="en-US" w:eastAsia="zh-CN"/>
              </w:rPr>
              <w:t>40.5</w:t>
            </w:r>
            <w:r>
              <w:rPr>
                <w:rFonts w:hint="eastAsia"/>
                <w:color w:val="auto"/>
                <w:sz w:val="24"/>
              </w:rPr>
              <w:t>-</w:t>
            </w:r>
            <w:r>
              <w:rPr>
                <w:rFonts w:hint="eastAsia"/>
                <w:color w:val="auto"/>
                <w:sz w:val="24"/>
                <w:lang w:val="en-US" w:eastAsia="zh-CN"/>
              </w:rPr>
              <w:t>0.0744</w:t>
            </w:r>
            <w:r>
              <w:rPr>
                <w:rFonts w:hint="eastAsia"/>
                <w:color w:val="auto"/>
                <w:sz w:val="24"/>
              </w:rPr>
              <w:t>-</w:t>
            </w:r>
            <w:r>
              <w:rPr>
                <w:rFonts w:hint="eastAsia"/>
                <w:color w:val="auto"/>
                <w:sz w:val="24"/>
                <w:lang w:val="en-US" w:eastAsia="zh-CN"/>
              </w:rPr>
              <w:t>0.005-4</w:t>
            </w:r>
            <w:r>
              <w:rPr>
                <w:rFonts w:hint="eastAsia"/>
                <w:color w:val="auto"/>
                <w:sz w:val="24"/>
              </w:rPr>
              <w:t>0t=</w:t>
            </w:r>
            <w:r>
              <w:rPr>
                <w:rFonts w:hint="eastAsia"/>
                <w:color w:val="auto"/>
                <w:sz w:val="24"/>
                <w:lang w:val="en-US" w:eastAsia="zh-CN"/>
              </w:rPr>
              <w:t>0.4206</w:t>
            </w:r>
            <w:r>
              <w:rPr>
                <w:rFonts w:hint="eastAsia"/>
                <w:color w:val="auto"/>
                <w:sz w:val="24"/>
              </w:rPr>
              <w:t>t；</w:t>
            </w:r>
          </w:p>
          <w:p w14:paraId="71C1E811">
            <w:pPr>
              <w:pStyle w:val="10"/>
              <w:keepLines/>
              <w:numPr>
                <w:ilvl w:val="0"/>
                <w:numId w:val="11"/>
              </w:numPr>
              <w:wordWrap w:val="0"/>
              <w:topLinePunct/>
              <w:spacing w:before="0" w:after="0" w:line="360" w:lineRule="auto"/>
              <w:ind w:right="0" w:firstLine="480" w:firstLineChars="200"/>
              <w:rPr>
                <w:color w:val="auto"/>
                <w:sz w:val="24"/>
              </w:rPr>
            </w:pPr>
            <w:r>
              <w:rPr>
                <w:color w:val="auto"/>
                <w:sz w:val="24"/>
              </w:rPr>
              <w:t>危险废物：收集后交由具有相关危险废物经营许可证单位处理。</w:t>
            </w:r>
          </w:p>
          <w:p w14:paraId="7E898D71">
            <w:pPr>
              <w:pStyle w:val="10"/>
              <w:keepLines/>
              <w:numPr>
                <w:numId w:val="0"/>
              </w:numPr>
              <w:wordWrap w:val="0"/>
              <w:topLinePunct/>
              <w:spacing w:before="0" w:after="0" w:line="360" w:lineRule="auto"/>
              <w:ind w:right="0" w:rightChars="0" w:firstLine="480" w:firstLineChars="200"/>
              <w:rPr>
                <w:rFonts w:hint="eastAsia" w:ascii="Times New Roman" w:hAnsi="Times New Roman" w:eastAsia="宋体" w:cs="Times New Roman"/>
                <w:color w:val="auto"/>
                <w:sz w:val="24"/>
                <w:szCs w:val="24"/>
                <w:highlight w:val="none"/>
                <w:lang w:val="en-US" w:eastAsia="zh-CN"/>
              </w:rPr>
            </w:pPr>
            <w:r>
              <w:rPr>
                <w:rFonts w:hint="eastAsia"/>
                <w:color w:val="auto"/>
                <w:sz w:val="24"/>
                <w:highlight w:val="none"/>
                <w:lang w:val="en-US" w:eastAsia="zh-CN"/>
              </w:rPr>
              <w:t>1、</w:t>
            </w:r>
            <w:r>
              <w:rPr>
                <w:rFonts w:hint="eastAsia"/>
                <w:color w:val="auto"/>
                <w:sz w:val="24"/>
                <w:highlight w:val="none"/>
                <w:lang w:eastAsia="zh-CN"/>
              </w:rPr>
              <w:t>饱和活性炭</w:t>
            </w:r>
            <w:r>
              <w:rPr>
                <w:color w:val="auto"/>
                <w:sz w:val="24"/>
                <w:highlight w:val="none"/>
              </w:rPr>
              <w:t>：</w:t>
            </w:r>
            <w:r>
              <w:rPr>
                <w:rFonts w:hint="eastAsia" w:ascii="Times New Roman" w:hAnsi="Times New Roman" w:eastAsia="宋体" w:cs="Times New Roman"/>
                <w:color w:val="auto"/>
                <w:kern w:val="0"/>
                <w:sz w:val="24"/>
                <w:szCs w:val="24"/>
                <w:highlight w:val="none"/>
                <w:lang w:val="en-US" w:eastAsia="zh-CN" w:bidi="ar-SA"/>
              </w:rPr>
              <w:t>本本项目饱和活性炭来自1套活性炭吸附设施，对烘干、注塑成型废气进行吸附处理，有机废气产生量为0.0960t/a，废气处理设施有机废气的收集量为0.0288t/a，</w:t>
            </w:r>
            <w:r>
              <w:rPr>
                <w:rFonts w:hint="eastAsia" w:ascii="Times New Roman" w:hAnsi="Times New Roman" w:eastAsia="宋体" w:cs="Times New Roman"/>
                <w:color w:val="auto"/>
                <w:sz w:val="24"/>
                <w:szCs w:val="24"/>
                <w:highlight w:val="none"/>
                <w:lang w:val="en-US" w:eastAsia="zh-CN"/>
              </w:rPr>
              <w:t>活性炭吸附量为0.</w:t>
            </w:r>
            <w:r>
              <w:rPr>
                <w:rFonts w:hint="eastAsia" w:cs="Times New Roman"/>
                <w:color w:val="auto"/>
                <w:sz w:val="24"/>
                <w:szCs w:val="24"/>
                <w:highlight w:val="none"/>
                <w:lang w:val="en-US" w:eastAsia="zh-CN"/>
              </w:rPr>
              <w:t>0288</w:t>
            </w:r>
            <w:r>
              <w:rPr>
                <w:rFonts w:hint="eastAsia" w:ascii="Times New Roman" w:hAnsi="Times New Roman" w:eastAsia="宋体" w:cs="Times New Roman"/>
                <w:color w:val="auto"/>
                <w:sz w:val="24"/>
                <w:szCs w:val="24"/>
                <w:highlight w:val="none"/>
                <w:lang w:val="en-US" w:eastAsia="zh-CN"/>
              </w:rPr>
              <w:t>×75%=0.0216t/a。</w:t>
            </w:r>
          </w:p>
          <w:p w14:paraId="04B10BF3">
            <w:pPr>
              <w:pStyle w:val="10"/>
              <w:keepLines/>
              <w:wordWrap w:val="0"/>
              <w:topLinePunct/>
              <w:spacing w:before="0" w:after="0" w:line="360" w:lineRule="auto"/>
              <w:ind w:right="0" w:firstLine="480" w:firstLineChars="200"/>
              <w:rPr>
                <w:rFonts w:hint="eastAsia"/>
                <w:color w:val="auto"/>
                <w:sz w:val="24"/>
                <w:lang w:val="en-US" w:eastAsia="zh-CN"/>
              </w:rPr>
            </w:pPr>
            <w:r>
              <w:rPr>
                <w:rFonts w:hint="eastAsia" w:ascii="Times New Roman" w:hAnsi="Times New Roman" w:eastAsia="宋体" w:cs="Times New Roman"/>
                <w:color w:val="auto"/>
                <w:sz w:val="24"/>
                <w:szCs w:val="24"/>
                <w:highlight w:val="none"/>
                <w:lang w:val="en-US" w:eastAsia="zh-CN"/>
              </w:rPr>
              <w:t>根据</w:t>
            </w:r>
            <w:r>
              <w:rPr>
                <w:color w:val="auto"/>
                <w:sz w:val="24"/>
              </w:rPr>
              <w:t>《</w:t>
            </w:r>
            <w:r>
              <w:rPr>
                <w:rFonts w:hint="eastAsia"/>
                <w:color w:val="auto"/>
                <w:sz w:val="24"/>
                <w:lang w:val="en-US" w:eastAsia="zh-CN"/>
              </w:rPr>
              <w:t>广东省工业源挥发性有机物减排量核算方法（2023修订版）</w:t>
            </w:r>
            <w:r>
              <w:rPr>
                <w:color w:val="auto"/>
                <w:sz w:val="24"/>
              </w:rPr>
              <w:t>》</w:t>
            </w:r>
            <w:r>
              <w:rPr>
                <w:rFonts w:hint="eastAsia"/>
                <w:color w:val="auto"/>
                <w:sz w:val="24"/>
                <w:lang w:eastAsia="zh-CN"/>
              </w:rPr>
              <w:t>，</w:t>
            </w:r>
            <w:r>
              <w:rPr>
                <w:rFonts w:hint="eastAsia"/>
                <w:color w:val="auto"/>
                <w:sz w:val="24"/>
                <w:lang w:val="en-US" w:eastAsia="zh-CN"/>
              </w:rPr>
              <w:t>活性炭（蜂窝状）的吸附比例为15%，则项目至少需要活性炭量为0.0216/15%=0.144t/a。废活性炭理论产生量为0.144t/a+0.0216/a=0.1656t/a。</w:t>
            </w:r>
          </w:p>
          <w:p w14:paraId="6E6A2D74">
            <w:pPr>
              <w:spacing w:line="360" w:lineRule="auto"/>
              <w:ind w:firstLine="480" w:firstLineChars="200"/>
              <w:rPr>
                <w:color w:val="auto"/>
                <w:sz w:val="24"/>
              </w:rPr>
            </w:pPr>
            <w:r>
              <w:rPr>
                <w:rFonts w:hint="eastAsia"/>
                <w:color w:val="auto"/>
                <w:sz w:val="24"/>
                <w:lang w:val="en-US" w:eastAsia="zh-CN"/>
              </w:rPr>
              <w:t>结合项目实际并考虑风机风量并预留一定余量，二级活性炭装载量取1.26t，具体</w:t>
            </w:r>
            <w:r>
              <w:rPr>
                <w:color w:val="auto"/>
                <w:sz w:val="24"/>
              </w:rPr>
              <w:t>项目活性炭装置设置情况如下：</w:t>
            </w:r>
          </w:p>
          <w:p w14:paraId="45648493">
            <w:pPr>
              <w:pStyle w:val="95"/>
              <w:spacing w:before="120"/>
              <w:ind w:left="0"/>
              <w:rPr>
                <w:b/>
                <w:bCs/>
                <w:color w:val="auto"/>
                <w:sz w:val="21"/>
                <w:szCs w:val="21"/>
                <w:highlight w:val="none"/>
              </w:rPr>
            </w:pPr>
            <w:r>
              <w:rPr>
                <w:b/>
                <w:color w:val="auto"/>
                <w:kern w:val="2"/>
                <w:sz w:val="21"/>
                <w:szCs w:val="21"/>
              </w:rPr>
              <w:t>活性炭废气装置参数一览表</w:t>
            </w:r>
          </w:p>
          <w:tbl>
            <w:tblPr>
              <w:tblStyle w:val="1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1"/>
              <w:gridCol w:w="2981"/>
              <w:gridCol w:w="2875"/>
            </w:tblGrid>
            <w:tr w14:paraId="1F65E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4" w:hRule="atLeast"/>
              </w:trPr>
              <w:tc>
                <w:tcPr>
                  <w:tcW w:w="1686" w:type="pct"/>
                  <w:tcBorders>
                    <w:top w:val="single" w:color="auto" w:sz="4" w:space="0"/>
                    <w:left w:val="single" w:color="auto" w:sz="4" w:space="0"/>
                    <w:right w:val="single" w:color="auto" w:sz="4" w:space="0"/>
                  </w:tcBorders>
                  <w:noWrap w:val="0"/>
                  <w:vAlign w:val="center"/>
                </w:tcPr>
                <w:p w14:paraId="4466EA26">
                  <w:pPr>
                    <w:jc w:val="center"/>
                    <w:rPr>
                      <w:rFonts w:hint="default"/>
                      <w:b/>
                      <w:bCs/>
                      <w:color w:val="auto"/>
                      <w:szCs w:val="21"/>
                      <w:lang w:val="en-US" w:eastAsia="zh-CN"/>
                    </w:rPr>
                  </w:pPr>
                  <w:r>
                    <w:rPr>
                      <w:rFonts w:hint="eastAsia"/>
                      <w:b/>
                      <w:bCs/>
                      <w:color w:val="auto"/>
                      <w:szCs w:val="21"/>
                      <w:lang w:val="en-US" w:eastAsia="zh-CN"/>
                    </w:rPr>
                    <w:t>设施名称</w:t>
                  </w:r>
                </w:p>
              </w:tc>
              <w:tc>
                <w:tcPr>
                  <w:tcW w:w="1686" w:type="pct"/>
                  <w:tcBorders>
                    <w:top w:val="single" w:color="auto" w:sz="4" w:space="0"/>
                    <w:left w:val="single" w:color="auto" w:sz="4" w:space="0"/>
                    <w:right w:val="single" w:color="auto" w:sz="4" w:space="0"/>
                  </w:tcBorders>
                  <w:noWrap w:val="0"/>
                  <w:vAlign w:val="center"/>
                </w:tcPr>
                <w:p w14:paraId="19B0ABB1">
                  <w:pPr>
                    <w:jc w:val="center"/>
                    <w:rPr>
                      <w:rFonts w:hint="default"/>
                      <w:b/>
                      <w:bCs/>
                      <w:color w:val="auto"/>
                      <w:szCs w:val="21"/>
                      <w:lang w:val="en-US" w:eastAsia="zh-CN"/>
                    </w:rPr>
                  </w:pPr>
                  <w:r>
                    <w:rPr>
                      <w:rFonts w:hint="eastAsia"/>
                      <w:b/>
                      <w:bCs/>
                      <w:color w:val="auto"/>
                      <w:szCs w:val="21"/>
                      <w:lang w:val="en-US" w:eastAsia="zh-CN"/>
                    </w:rPr>
                    <w:t>参数</w:t>
                  </w:r>
                </w:p>
              </w:tc>
              <w:tc>
                <w:tcPr>
                  <w:tcW w:w="1626" w:type="pct"/>
                  <w:tcBorders>
                    <w:top w:val="single" w:color="auto" w:sz="4" w:space="0"/>
                    <w:left w:val="single" w:color="auto" w:sz="4" w:space="0"/>
                    <w:bottom w:val="single" w:color="auto" w:sz="4" w:space="0"/>
                    <w:right w:val="single" w:color="auto" w:sz="4" w:space="0"/>
                  </w:tcBorders>
                  <w:noWrap w:val="0"/>
                  <w:vAlign w:val="center"/>
                </w:tcPr>
                <w:p w14:paraId="12F20DB5">
                  <w:pPr>
                    <w:jc w:val="center"/>
                    <w:rPr>
                      <w:rFonts w:hint="default" w:eastAsia="宋体"/>
                      <w:b/>
                      <w:bCs/>
                      <w:color w:val="auto"/>
                      <w:kern w:val="0"/>
                      <w:szCs w:val="21"/>
                      <w:lang w:val="en-US" w:eastAsia="zh-CN" w:bidi="ar"/>
                    </w:rPr>
                  </w:pPr>
                  <w:r>
                    <w:rPr>
                      <w:rFonts w:hint="eastAsia"/>
                      <w:b/>
                      <w:bCs/>
                      <w:color w:val="auto"/>
                      <w:kern w:val="0"/>
                      <w:szCs w:val="21"/>
                      <w:lang w:val="en-US" w:eastAsia="zh-CN" w:bidi="ar"/>
                    </w:rPr>
                    <w:t>数值</w:t>
                  </w:r>
                </w:p>
              </w:tc>
            </w:tr>
            <w:tr w14:paraId="3A94D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restart"/>
                  <w:tcBorders>
                    <w:top w:val="single" w:color="auto" w:sz="4" w:space="0"/>
                    <w:left w:val="single" w:color="auto" w:sz="4" w:space="0"/>
                    <w:right w:val="single" w:color="auto" w:sz="4" w:space="0"/>
                  </w:tcBorders>
                  <w:noWrap w:val="0"/>
                  <w:vAlign w:val="center"/>
                </w:tcPr>
                <w:p w14:paraId="2E7A78F7">
                  <w:pPr>
                    <w:jc w:val="center"/>
                    <w:rPr>
                      <w:rFonts w:hint="default"/>
                      <w:b/>
                      <w:bCs/>
                      <w:color w:val="auto"/>
                      <w:szCs w:val="21"/>
                      <w:lang w:val="en-US" w:eastAsia="zh-CN"/>
                    </w:rPr>
                  </w:pPr>
                  <w:r>
                    <w:rPr>
                      <w:rFonts w:hint="eastAsia"/>
                      <w:b/>
                      <w:bCs/>
                      <w:color w:val="auto"/>
                      <w:szCs w:val="21"/>
                      <w:lang w:val="en-US" w:eastAsia="zh-CN"/>
                    </w:rPr>
                    <w:t>二级活性炭吸附装置</w:t>
                  </w:r>
                </w:p>
              </w:tc>
              <w:tc>
                <w:tcPr>
                  <w:tcW w:w="1686" w:type="pct"/>
                  <w:tcBorders>
                    <w:top w:val="single" w:color="auto" w:sz="4" w:space="0"/>
                    <w:left w:val="single" w:color="auto" w:sz="4" w:space="0"/>
                    <w:right w:val="single" w:color="auto" w:sz="4" w:space="0"/>
                  </w:tcBorders>
                  <w:noWrap w:val="0"/>
                  <w:vAlign w:val="center"/>
                </w:tcPr>
                <w:p w14:paraId="51592922">
                  <w:pPr>
                    <w:jc w:val="center"/>
                    <w:rPr>
                      <w:rFonts w:hint="default" w:eastAsia="宋体"/>
                      <w:color w:val="auto"/>
                      <w:szCs w:val="21"/>
                      <w:lang w:val="en-US" w:eastAsia="zh-CN"/>
                    </w:rPr>
                  </w:pPr>
                  <w:r>
                    <w:rPr>
                      <w:rFonts w:hint="eastAsia"/>
                      <w:b/>
                      <w:bCs/>
                      <w:color w:val="auto"/>
                      <w:szCs w:val="21"/>
                      <w:lang w:val="en-US" w:eastAsia="zh-CN"/>
                    </w:rPr>
                    <w:t>Q设计风量（m</w:t>
                  </w:r>
                  <w:r>
                    <w:rPr>
                      <w:rFonts w:hint="eastAsia"/>
                      <w:b/>
                      <w:bCs/>
                      <w:color w:val="auto"/>
                      <w:szCs w:val="21"/>
                      <w:vertAlign w:val="superscript"/>
                      <w:lang w:val="en-US" w:eastAsia="zh-CN"/>
                    </w:rPr>
                    <w:t>3</w:t>
                  </w:r>
                  <w:r>
                    <w:rPr>
                      <w:rFonts w:hint="eastAsia"/>
                      <w:b/>
                      <w:bCs/>
                      <w:color w:val="auto"/>
                      <w:szCs w:val="21"/>
                      <w:lang w:val="en-US" w:eastAsia="zh-CN"/>
                    </w:rPr>
                    <w:t>/h）</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AA3F1DC">
                  <w:pPr>
                    <w:jc w:val="center"/>
                    <w:rPr>
                      <w:rFonts w:hint="eastAsia" w:ascii="Times New Roman" w:hAnsi="Times New Roman" w:eastAsia="宋体" w:cs="Times New Roman"/>
                      <w:b w:val="0"/>
                      <w:bCs w:val="0"/>
                      <w:color w:val="auto"/>
                      <w:kern w:val="2"/>
                      <w:sz w:val="21"/>
                      <w:szCs w:val="21"/>
                      <w:lang w:val="en-US" w:eastAsia="zh-CN" w:bidi="ar-SA"/>
                    </w:rPr>
                  </w:pPr>
                  <w:r>
                    <w:rPr>
                      <w:rFonts w:hint="eastAsia"/>
                      <w:b w:val="0"/>
                      <w:bCs w:val="0"/>
                      <w:color w:val="auto"/>
                      <w:kern w:val="0"/>
                      <w:szCs w:val="21"/>
                      <w:lang w:val="en-US" w:eastAsia="zh-CN" w:bidi="ar"/>
                    </w:rPr>
                    <w:t>80</w:t>
                  </w:r>
                  <w:r>
                    <w:rPr>
                      <w:rFonts w:hint="eastAsia"/>
                      <w:b w:val="0"/>
                      <w:bCs w:val="0"/>
                      <w:color w:val="auto"/>
                      <w:kern w:val="0"/>
                      <w:szCs w:val="21"/>
                      <w:lang w:eastAsia="zh-CN" w:bidi="ar"/>
                    </w:rPr>
                    <w:t>00</w:t>
                  </w:r>
                  <w:r>
                    <w:rPr>
                      <w:b w:val="0"/>
                      <w:bCs w:val="0"/>
                      <w:color w:val="auto"/>
                      <w:kern w:val="0"/>
                      <w:szCs w:val="21"/>
                      <w:lang w:bidi="ar"/>
                    </w:rPr>
                    <w:t>m</w:t>
                  </w:r>
                  <w:r>
                    <w:rPr>
                      <w:rStyle w:val="110"/>
                      <w:b w:val="0"/>
                      <w:bCs w:val="0"/>
                      <w:color w:val="auto"/>
                      <w:vertAlign w:val="superscript"/>
                      <w:lang w:bidi="ar"/>
                    </w:rPr>
                    <w:t>3</w:t>
                  </w:r>
                  <w:r>
                    <w:rPr>
                      <w:b w:val="0"/>
                      <w:bCs w:val="0"/>
                      <w:color w:val="auto"/>
                      <w:kern w:val="0"/>
                      <w:szCs w:val="21"/>
                      <w:lang w:bidi="ar"/>
                    </w:rPr>
                    <w:t>/h</w:t>
                  </w:r>
                </w:p>
              </w:tc>
            </w:tr>
            <w:tr w14:paraId="11ABE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5E536256">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2235B440">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设备尺寸（长×宽×高）</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D1F205E">
                  <w:pPr>
                    <w:widowControl/>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Cs w:val="21"/>
                      <w:lang w:val="en-US" w:eastAsia="zh-CN"/>
                    </w:rPr>
                    <w:t>1600</w:t>
                  </w:r>
                  <w:r>
                    <w:rPr>
                      <w:rFonts w:hint="eastAsia" w:ascii="Times New Roman" w:hAnsi="Times New Roman" w:eastAsia="宋体" w:cs="Times New Roman"/>
                      <w:b w:val="0"/>
                      <w:bCs w:val="0"/>
                      <w:color w:val="auto"/>
                      <w:szCs w:val="21"/>
                      <w:lang w:val="en-US" w:eastAsia="zh-CN"/>
                    </w:rPr>
                    <w:t>×1300×1100</w:t>
                  </w:r>
                </w:p>
              </w:tc>
            </w:tr>
            <w:tr w14:paraId="715EB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5718E11A">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462914C1">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活性炭尺寸（mm）</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AF57F5C">
                  <w:pPr>
                    <w:widowControl/>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b w:val="0"/>
                      <w:bCs w:val="0"/>
                      <w:color w:val="auto"/>
                      <w:szCs w:val="21"/>
                      <w:lang w:val="en-US" w:eastAsia="zh-CN"/>
                    </w:rPr>
                    <w:t>1500</w:t>
                  </w:r>
                  <w:r>
                    <w:rPr>
                      <w:rFonts w:hint="eastAsia" w:ascii="Times New Roman" w:hAnsi="Times New Roman" w:eastAsia="宋体" w:cs="Times New Roman"/>
                      <w:b w:val="0"/>
                      <w:bCs w:val="0"/>
                      <w:color w:val="auto"/>
                      <w:szCs w:val="21"/>
                      <w:lang w:val="en-US" w:eastAsia="zh-CN"/>
                    </w:rPr>
                    <w:t>×1200×1000</w:t>
                  </w:r>
                </w:p>
              </w:tc>
            </w:tr>
            <w:tr w14:paraId="3B90F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6D2A4C0C">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6AB1C6D8">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活性炭类型</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2F08AB6">
                  <w:pPr>
                    <w:widowControl/>
                    <w:jc w:val="center"/>
                    <w:textAlignment w:val="center"/>
                    <w:rPr>
                      <w:rFonts w:hint="eastAsia"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蜂窝</w:t>
                  </w:r>
                </w:p>
              </w:tc>
            </w:tr>
            <w:tr w14:paraId="009CD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1771188F">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34158342">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ρ活性炭密度（kg/m</w:t>
                  </w:r>
                  <w:r>
                    <w:rPr>
                      <w:rFonts w:hint="eastAsia" w:ascii="Times New Roman" w:hAnsi="Times New Roman" w:eastAsia="宋体" w:cs="Times New Roman"/>
                      <w:b/>
                      <w:bCs/>
                      <w:color w:val="auto"/>
                      <w:szCs w:val="21"/>
                      <w:vertAlign w:val="superscript"/>
                      <w:lang w:val="en-US" w:eastAsia="zh-CN"/>
                    </w:rPr>
                    <w:t>3</w:t>
                  </w:r>
                  <w:r>
                    <w:rPr>
                      <w:rFonts w:hint="eastAsia" w:ascii="Times New Roman" w:hAnsi="Times New Roman" w:eastAsia="宋体" w:cs="Times New Roman"/>
                      <w:b/>
                      <w:bCs/>
                      <w:color w:val="auto"/>
                      <w:szCs w:val="21"/>
                      <w:lang w:val="en-US" w:eastAsia="zh-CN"/>
                    </w:rPr>
                    <w:t>）</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A897DE1">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350</w:t>
                  </w:r>
                </w:p>
              </w:tc>
            </w:tr>
            <w:tr w14:paraId="6C95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5A760AB9">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34F38BFA">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V过滤风速（m/s）</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DF94249">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0.617</w:t>
                  </w:r>
                </w:p>
              </w:tc>
            </w:tr>
            <w:tr w14:paraId="35695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6D7B6D1A">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24B4CBB6">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T停留时间（S）</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5B4C10B">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eastAsia="宋体"/>
                      <w:b w:val="0"/>
                      <w:bCs w:val="0"/>
                      <w:color w:val="auto"/>
                      <w:kern w:val="0"/>
                      <w:szCs w:val="21"/>
                      <w:lang w:val="en-US" w:eastAsia="zh-CN" w:bidi="ar"/>
                    </w:rPr>
                    <w:t>1.62</w:t>
                  </w:r>
                </w:p>
              </w:tc>
            </w:tr>
            <w:tr w14:paraId="3A02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44890463">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5B1463B9">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S单层活性炭过滤面积（m</w:t>
                  </w:r>
                  <w:r>
                    <w:rPr>
                      <w:rFonts w:hint="eastAsia" w:ascii="Times New Roman" w:hAnsi="Times New Roman" w:eastAsia="宋体" w:cs="Times New Roman"/>
                      <w:b/>
                      <w:bCs/>
                      <w:color w:val="auto"/>
                      <w:szCs w:val="21"/>
                      <w:vertAlign w:val="superscript"/>
                      <w:lang w:val="en-US" w:eastAsia="zh-CN"/>
                    </w:rPr>
                    <w:t>3</w:t>
                  </w:r>
                  <w:r>
                    <w:rPr>
                      <w:rFonts w:hint="eastAsia" w:ascii="Times New Roman" w:hAnsi="Times New Roman" w:eastAsia="宋体" w:cs="Times New Roman"/>
                      <w:b/>
                      <w:bCs/>
                      <w:color w:val="auto"/>
                      <w:szCs w:val="21"/>
                      <w:lang w:val="en-US" w:eastAsia="zh-CN"/>
                    </w:rPr>
                    <w:t>）</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BA6E7FE">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1.7</w:t>
                  </w:r>
                </w:p>
              </w:tc>
            </w:tr>
            <w:tr w14:paraId="743B8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50DA5365">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4EFB6D98">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n活性炭层数</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F074E2B">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2</w:t>
                  </w:r>
                </w:p>
              </w:tc>
            </w:tr>
            <w:tr w14:paraId="7DD54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7CF8CFF3">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06ED5C80">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活性炭单层厚度（m）</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C449D83">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0.5</w:t>
                  </w:r>
                </w:p>
              </w:tc>
            </w:tr>
            <w:tr w14:paraId="649C0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3C736732">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1E537030">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装载量（吨）</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00D2BA3">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color w:val="auto"/>
                      <w:lang w:val="en-US" w:eastAsia="zh-CN"/>
                    </w:rPr>
                    <w:t>0.63</w:t>
                  </w:r>
                </w:p>
              </w:tc>
            </w:tr>
            <w:tr w14:paraId="44F66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5E65D065">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bottom w:val="single" w:color="auto" w:sz="4" w:space="0"/>
                    <w:right w:val="single" w:color="auto" w:sz="4" w:space="0"/>
                  </w:tcBorders>
                  <w:noWrap w:val="0"/>
                  <w:vAlign w:val="center"/>
                </w:tcPr>
                <w:p w14:paraId="1AE527FA">
                  <w:pPr>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活性炭级数</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0339F7D">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b w:val="0"/>
                      <w:bCs w:val="0"/>
                      <w:color w:val="auto"/>
                      <w:kern w:val="0"/>
                      <w:szCs w:val="21"/>
                      <w:lang w:val="en-US" w:eastAsia="zh-CN" w:bidi="ar"/>
                    </w:rPr>
                    <w:t>二级</w:t>
                  </w:r>
                </w:p>
              </w:tc>
            </w:tr>
            <w:tr w14:paraId="1A12A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686" w:type="pct"/>
                  <w:vMerge w:val="continue"/>
                  <w:tcBorders>
                    <w:left w:val="single" w:color="auto" w:sz="4" w:space="0"/>
                    <w:right w:val="single" w:color="auto" w:sz="4" w:space="0"/>
                  </w:tcBorders>
                  <w:noWrap w:val="0"/>
                  <w:vAlign w:val="center"/>
                </w:tcPr>
                <w:p w14:paraId="6B385445">
                  <w:pPr>
                    <w:jc w:val="center"/>
                    <w:rPr>
                      <w:rFonts w:hint="eastAsia" w:ascii="Times New Roman" w:hAnsi="Times New Roman" w:eastAsia="宋体" w:cs="Times New Roman"/>
                      <w:b/>
                      <w:bCs/>
                      <w:color w:val="auto"/>
                      <w:szCs w:val="21"/>
                      <w:lang w:val="en-US" w:eastAsia="zh-CN"/>
                    </w:rPr>
                  </w:pPr>
                </w:p>
              </w:tc>
              <w:tc>
                <w:tcPr>
                  <w:tcW w:w="1686" w:type="pct"/>
                  <w:tcBorders>
                    <w:top w:val="single" w:color="auto" w:sz="4" w:space="0"/>
                    <w:left w:val="single" w:color="auto" w:sz="4" w:space="0"/>
                    <w:right w:val="single" w:color="auto" w:sz="4" w:space="0"/>
                  </w:tcBorders>
                  <w:noWrap w:val="0"/>
                  <w:vAlign w:val="center"/>
                </w:tcPr>
                <w:p w14:paraId="2142C283">
                  <w:pPr>
                    <w:jc w:val="center"/>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二级活性炭装载量（吨）</w:t>
                  </w:r>
                </w:p>
              </w:tc>
              <w:tc>
                <w:tcPr>
                  <w:tcW w:w="162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1698499">
                  <w:pPr>
                    <w:widowControl/>
                    <w:jc w:val="center"/>
                    <w:textAlignment w:val="center"/>
                    <w:rPr>
                      <w:rFonts w:hint="default" w:ascii="Times New Roman" w:hAnsi="Times New Roman" w:eastAsia="宋体" w:cs="Times New Roman"/>
                      <w:b w:val="0"/>
                      <w:bCs w:val="0"/>
                      <w:color w:val="auto"/>
                      <w:kern w:val="0"/>
                      <w:sz w:val="21"/>
                      <w:szCs w:val="21"/>
                      <w:lang w:val="en-US" w:eastAsia="zh-CN" w:bidi="ar"/>
                    </w:rPr>
                  </w:pPr>
                  <w:r>
                    <w:rPr>
                      <w:rFonts w:hint="eastAsia"/>
                      <w:color w:val="auto"/>
                      <w:lang w:val="en-US" w:eastAsia="zh-CN"/>
                    </w:rPr>
                    <w:t>1.26</w:t>
                  </w:r>
                </w:p>
              </w:tc>
            </w:tr>
          </w:tbl>
          <w:p w14:paraId="5F227F65">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活性炭更换周期按照以下公式计算：</w:t>
            </w:r>
          </w:p>
          <w:p w14:paraId="2BF45CF2">
            <w:pPr>
              <w:pStyle w:val="114"/>
              <w:ind w:left="0" w:leftChars="0" w:firstLine="480" w:firstLineChars="200"/>
              <w:jc w:val="center"/>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T(d)=M*S/C/10</w:t>
            </w:r>
            <w:r>
              <w:rPr>
                <w:rFonts w:hint="eastAsia" w:ascii="Times New Roman" w:hAnsi="Times New Roman" w:eastAsia="宋体" w:cs="Times New Roman"/>
                <w:color w:val="auto"/>
                <w:kern w:val="0"/>
                <w:sz w:val="24"/>
                <w:szCs w:val="20"/>
                <w:vertAlign w:val="superscript"/>
                <w:lang w:val="en-US" w:eastAsia="zh-CN" w:bidi="ar-SA"/>
              </w:rPr>
              <w:t>-6</w:t>
            </w:r>
            <w:r>
              <w:rPr>
                <w:rFonts w:hint="eastAsia" w:ascii="Times New Roman" w:hAnsi="Times New Roman" w:eastAsia="宋体" w:cs="Times New Roman"/>
                <w:color w:val="auto"/>
                <w:kern w:val="0"/>
                <w:sz w:val="24"/>
                <w:szCs w:val="20"/>
                <w:lang w:val="en-US" w:eastAsia="zh-CN" w:bidi="ar-SA"/>
              </w:rPr>
              <w:t>/Q/t</w:t>
            </w:r>
          </w:p>
          <w:p w14:paraId="23A7DB3F">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T一更换周期，d；</w:t>
            </w:r>
          </w:p>
          <w:p w14:paraId="3862D1B3">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M一活性炭的用量，kg，本项目活性炭总用量为1.</w:t>
            </w:r>
            <w:r>
              <w:rPr>
                <w:rFonts w:hint="eastAsia" w:eastAsia="宋体" w:cs="Times New Roman"/>
                <w:color w:val="auto"/>
                <w:kern w:val="0"/>
                <w:sz w:val="24"/>
                <w:szCs w:val="20"/>
                <w:lang w:val="en-US" w:eastAsia="zh-CN" w:bidi="ar-SA"/>
              </w:rPr>
              <w:t>2</w:t>
            </w:r>
            <w:r>
              <w:rPr>
                <w:rFonts w:hint="eastAsia" w:ascii="Times New Roman" w:hAnsi="Times New Roman" w:eastAsia="宋体" w:cs="Times New Roman"/>
                <w:color w:val="auto"/>
                <w:kern w:val="0"/>
                <w:sz w:val="24"/>
                <w:szCs w:val="20"/>
                <w:lang w:val="en-US" w:eastAsia="zh-CN" w:bidi="ar-SA"/>
              </w:rPr>
              <w:t>6t，即1</w:t>
            </w:r>
            <w:r>
              <w:rPr>
                <w:rFonts w:hint="eastAsia" w:eastAsia="宋体" w:cs="Times New Roman"/>
                <w:color w:val="auto"/>
                <w:kern w:val="0"/>
                <w:sz w:val="24"/>
                <w:szCs w:val="20"/>
                <w:lang w:val="en-US" w:eastAsia="zh-CN" w:bidi="ar-SA"/>
              </w:rPr>
              <w:t>2</w:t>
            </w:r>
            <w:r>
              <w:rPr>
                <w:rFonts w:hint="eastAsia" w:ascii="Times New Roman" w:hAnsi="Times New Roman" w:eastAsia="宋体" w:cs="Times New Roman"/>
                <w:color w:val="auto"/>
                <w:kern w:val="0"/>
                <w:sz w:val="24"/>
                <w:szCs w:val="20"/>
                <w:lang w:val="en-US" w:eastAsia="zh-CN" w:bidi="ar-SA"/>
              </w:rPr>
              <w:t>60kg；</w:t>
            </w:r>
          </w:p>
          <w:p w14:paraId="5F5D428A">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S一动态吸附量，%；(一般取值10%)</w:t>
            </w:r>
          </w:p>
          <w:p w14:paraId="208085E8">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C一活性</w:t>
            </w:r>
            <w:r>
              <w:rPr>
                <w:rFonts w:hint="eastAsia" w:ascii="Times New Roman" w:hAnsi="Times New Roman" w:eastAsia="宋体" w:cs="Times New Roman"/>
                <w:color w:val="auto"/>
                <w:kern w:val="0"/>
                <w:sz w:val="24"/>
                <w:szCs w:val="24"/>
                <w:lang w:val="en-US" w:eastAsia="zh-CN" w:bidi="ar-SA"/>
              </w:rPr>
              <w:t>炭削减的VOCs浓度，mg/m³，根据上文计算，本项目二级活性炭装置总共处理有机废气</w:t>
            </w:r>
            <w:r>
              <w:rPr>
                <w:rFonts w:hint="eastAsia" w:ascii="Times New Roman" w:hAnsi="Times New Roman" w:eastAsia="宋体" w:cs="Times New Roman"/>
                <w:color w:val="auto"/>
                <w:kern w:val="0"/>
                <w:sz w:val="24"/>
                <w:szCs w:val="24"/>
                <w:highlight w:val="none"/>
                <w:lang w:val="en-US" w:eastAsia="zh-CN" w:bidi="ar-SA"/>
              </w:rPr>
              <w:t>0.0288</w:t>
            </w:r>
            <w:r>
              <w:rPr>
                <w:rFonts w:hint="eastAsia" w:cs="Times New Roman"/>
                <w:color w:val="auto"/>
                <w:sz w:val="24"/>
                <w:szCs w:val="24"/>
                <w:highlight w:val="none"/>
                <w:lang w:val="en-US" w:eastAsia="zh-CN"/>
              </w:rPr>
              <w:t>t/a，年工作2400h，风机风量为8000</w:t>
            </w:r>
            <w:r>
              <w:rPr>
                <w:b w:val="0"/>
                <w:bCs w:val="0"/>
                <w:color w:val="auto"/>
                <w:kern w:val="0"/>
                <w:sz w:val="24"/>
                <w:szCs w:val="24"/>
                <w:lang w:bidi="ar"/>
              </w:rPr>
              <w:t>m</w:t>
            </w:r>
            <w:r>
              <w:rPr>
                <w:rStyle w:val="110"/>
                <w:b w:val="0"/>
                <w:bCs w:val="0"/>
                <w:color w:val="auto"/>
                <w:sz w:val="24"/>
                <w:szCs w:val="24"/>
                <w:vertAlign w:val="superscript"/>
                <w:lang w:bidi="ar"/>
              </w:rPr>
              <w:t>3</w:t>
            </w:r>
            <w:r>
              <w:rPr>
                <w:b w:val="0"/>
                <w:bCs w:val="0"/>
                <w:color w:val="auto"/>
                <w:kern w:val="0"/>
                <w:sz w:val="24"/>
                <w:szCs w:val="24"/>
                <w:lang w:bidi="ar"/>
              </w:rPr>
              <w:t>/h</w:t>
            </w:r>
            <w:r>
              <w:rPr>
                <w:rFonts w:hint="eastAsia"/>
                <w:b w:val="0"/>
                <w:bCs w:val="0"/>
                <w:color w:val="auto"/>
                <w:kern w:val="0"/>
                <w:sz w:val="24"/>
                <w:szCs w:val="24"/>
                <w:lang w:eastAsia="zh-CN" w:bidi="ar"/>
              </w:rPr>
              <w:t>，</w:t>
            </w:r>
            <w:r>
              <w:rPr>
                <w:rFonts w:hint="eastAsia"/>
                <w:b w:val="0"/>
                <w:bCs w:val="0"/>
                <w:color w:val="auto"/>
                <w:kern w:val="0"/>
                <w:sz w:val="24"/>
                <w:szCs w:val="24"/>
                <w:lang w:val="en-US" w:eastAsia="zh-CN" w:bidi="ar"/>
              </w:rPr>
              <w:t>则装置削减浓度为</w:t>
            </w:r>
            <w:r>
              <w:rPr>
                <w:rFonts w:hint="eastAsia" w:ascii="Times New Roman" w:hAnsi="Times New Roman" w:eastAsia="宋体" w:cs="Times New Roman"/>
                <w:color w:val="auto"/>
                <w:kern w:val="0"/>
                <w:sz w:val="24"/>
                <w:szCs w:val="24"/>
                <w:highlight w:val="none"/>
                <w:lang w:val="en-US" w:eastAsia="zh-CN" w:bidi="ar-SA"/>
              </w:rPr>
              <w:t>0.0288</w:t>
            </w:r>
            <w:r>
              <w:rPr>
                <w:rFonts w:hint="eastAsia" w:ascii="Times New Roman" w:hAnsi="Times New Roman" w:eastAsia="宋体" w:cs="Times New Roman"/>
                <w:color w:val="auto"/>
                <w:sz w:val="24"/>
                <w:szCs w:val="24"/>
                <w:highlight w:val="none"/>
                <w:lang w:val="en-US" w:eastAsia="zh-CN"/>
              </w:rPr>
              <w:t>t/a×1000÷2400h/a×10</w:t>
            </w:r>
            <w:r>
              <w:rPr>
                <w:rFonts w:hint="eastAsia" w:ascii="Times New Roman" w:hAnsi="Times New Roman" w:eastAsia="宋体" w:cs="Times New Roman"/>
                <w:color w:val="auto"/>
                <w:sz w:val="24"/>
                <w:szCs w:val="24"/>
                <w:highlight w:val="none"/>
                <w:vertAlign w:val="superscript"/>
                <w:lang w:val="en-US" w:eastAsia="zh-CN"/>
              </w:rPr>
              <w:t>6</w:t>
            </w:r>
            <w:r>
              <w:rPr>
                <w:rFonts w:hint="eastAsia" w:ascii="Times New Roman" w:hAnsi="Times New Roman" w:eastAsia="宋体" w:cs="Times New Roman"/>
                <w:color w:val="auto"/>
                <w:sz w:val="24"/>
                <w:szCs w:val="24"/>
                <w:highlight w:val="none"/>
                <w:lang w:val="en-US" w:eastAsia="zh-CN"/>
              </w:rPr>
              <w:t>÷</w:t>
            </w:r>
            <w:r>
              <w:rPr>
                <w:rFonts w:hint="eastAsia" w:eastAsia="宋体" w:cs="Times New Roman"/>
                <w:color w:val="auto"/>
                <w:sz w:val="24"/>
                <w:szCs w:val="24"/>
                <w:highlight w:val="none"/>
                <w:lang w:val="en-US" w:eastAsia="zh-CN"/>
              </w:rPr>
              <w:t>80</w:t>
            </w:r>
            <w:r>
              <w:rPr>
                <w:rFonts w:hint="eastAsia" w:ascii="Times New Roman" w:hAnsi="Times New Roman" w:eastAsia="宋体" w:cs="Times New Roman"/>
                <w:color w:val="auto"/>
                <w:sz w:val="24"/>
                <w:szCs w:val="24"/>
                <w:highlight w:val="none"/>
                <w:lang w:val="en-US" w:eastAsia="zh-CN"/>
              </w:rPr>
              <w:t>00m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/h=</w:t>
            </w:r>
            <w:r>
              <w:rPr>
                <w:rFonts w:hint="eastAsia" w:eastAsia="宋体"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lang w:val="en-US" w:eastAsia="zh-CN"/>
              </w:rPr>
              <w:t>³</w:t>
            </w:r>
            <w:r>
              <w:rPr>
                <w:rFonts w:hint="eastAsia" w:ascii="Times New Roman" w:hAnsi="Times New Roman" w:eastAsia="宋体" w:cs="Times New Roman"/>
                <w:color w:val="auto"/>
                <w:sz w:val="24"/>
                <w:szCs w:val="24"/>
                <w:highlight w:val="none"/>
                <w:lang w:val="en-US" w:eastAsia="zh-CN"/>
              </w:rPr>
              <w:t>；</w:t>
            </w:r>
          </w:p>
          <w:p w14:paraId="039DC0A1">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Q一风量，m²/h，本项目废气处理设施活性炭吸附装置风量为</w:t>
            </w:r>
            <w:r>
              <w:rPr>
                <w:rFonts w:hint="eastAsia" w:eastAsia="宋体" w:cs="Times New Roman"/>
                <w:color w:val="auto"/>
                <w:kern w:val="0"/>
                <w:sz w:val="24"/>
                <w:szCs w:val="20"/>
                <w:lang w:val="en-US" w:eastAsia="zh-CN" w:bidi="ar-SA"/>
              </w:rPr>
              <w:t>80</w:t>
            </w:r>
            <w:r>
              <w:rPr>
                <w:rFonts w:hint="eastAsia" w:ascii="Times New Roman" w:hAnsi="Times New Roman" w:eastAsia="宋体" w:cs="Times New Roman"/>
                <w:color w:val="auto"/>
                <w:kern w:val="0"/>
                <w:sz w:val="24"/>
                <w:szCs w:val="20"/>
                <w:lang w:val="en-US" w:eastAsia="zh-CN" w:bidi="ar-SA"/>
              </w:rPr>
              <w:t>00m³/h；</w:t>
            </w:r>
          </w:p>
          <w:p w14:paraId="270AA92D">
            <w:pPr>
              <w:pStyle w:val="114"/>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t-运行时间，h/d，本项目每天运行8小时。</w:t>
            </w:r>
          </w:p>
          <w:p w14:paraId="61802ED3">
            <w:pPr>
              <w:pStyle w:val="114"/>
              <w:ind w:left="0" w:leftChars="0" w:firstLine="480" w:firstLineChars="200"/>
              <w:rPr>
                <w:rFonts w:hint="eastAsia"/>
                <w:lang w:val="en-US" w:eastAsia="zh-CN"/>
              </w:rPr>
            </w:pPr>
            <w:r>
              <w:rPr>
                <w:rFonts w:hint="eastAsia" w:ascii="Times New Roman" w:hAnsi="Times New Roman" w:eastAsia="宋体" w:cs="Times New Roman"/>
                <w:color w:val="auto"/>
                <w:kern w:val="0"/>
                <w:sz w:val="24"/>
                <w:szCs w:val="20"/>
                <w:lang w:val="en-US" w:eastAsia="zh-CN" w:bidi="ar-SA"/>
              </w:rPr>
              <w:t>综上所述，计算的T（d）=1</w:t>
            </w:r>
            <w:r>
              <w:rPr>
                <w:rFonts w:hint="eastAsia" w:eastAsia="宋体" w:cs="Times New Roman"/>
                <w:color w:val="auto"/>
                <w:kern w:val="0"/>
                <w:sz w:val="24"/>
                <w:szCs w:val="20"/>
                <w:lang w:val="en-US" w:eastAsia="zh-CN" w:bidi="ar-SA"/>
              </w:rPr>
              <w:t>312.5</w:t>
            </w:r>
            <w:r>
              <w:rPr>
                <w:rFonts w:hint="eastAsia" w:ascii="Times New Roman" w:hAnsi="Times New Roman" w:eastAsia="宋体" w:cs="Times New Roman"/>
                <w:color w:val="auto"/>
                <w:kern w:val="0"/>
                <w:sz w:val="24"/>
                <w:szCs w:val="20"/>
                <w:lang w:val="en-US" w:eastAsia="zh-CN" w:bidi="ar-SA"/>
              </w:rPr>
              <w:t>d。</w:t>
            </w:r>
            <w:r>
              <w:rPr>
                <w:rFonts w:hint="eastAsia" w:cs="Times New Roman"/>
                <w:color w:val="auto"/>
                <w:kern w:val="0"/>
                <w:sz w:val="24"/>
                <w:szCs w:val="24"/>
                <w:highlight w:val="none"/>
                <w:lang w:val="en-US" w:eastAsia="zh-CN" w:bidi="ar-SA"/>
              </w:rPr>
              <w:t>为保障废气处理的效率，本项目</w:t>
            </w:r>
            <w:r>
              <w:rPr>
                <w:rFonts w:hint="eastAsia" w:ascii="Times New Roman" w:hAnsi="Times New Roman" w:eastAsia="宋体" w:cs="Times New Roman"/>
                <w:color w:val="auto"/>
                <w:kern w:val="0"/>
                <w:sz w:val="24"/>
                <w:szCs w:val="24"/>
                <w:highlight w:val="none"/>
                <w:lang w:val="en-US" w:eastAsia="zh-CN" w:bidi="ar-SA"/>
              </w:rPr>
              <w:t>废气收集区活性炭吸附设施更换活性炭次数为一年4次，则</w:t>
            </w:r>
            <w:r>
              <w:rPr>
                <w:rFonts w:hint="eastAsia"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饱和活性炭产生量为</w:t>
            </w:r>
            <w:r>
              <w:rPr>
                <w:rFonts w:hint="eastAsia" w:ascii="Times New Roman" w:hAnsi="Times New Roman" w:eastAsia="宋体" w:cs="Times New Roman"/>
                <w:color w:val="auto"/>
                <w:kern w:val="0"/>
                <w:sz w:val="24"/>
                <w:szCs w:val="20"/>
                <w:lang w:val="en-US" w:eastAsia="zh-CN" w:bidi="ar-SA"/>
              </w:rPr>
              <w:t>，则废活性炭总量为1.</w:t>
            </w:r>
            <w:r>
              <w:rPr>
                <w:rFonts w:hint="eastAsia" w:eastAsia="宋体" w:cs="Times New Roman"/>
                <w:color w:val="auto"/>
                <w:kern w:val="0"/>
                <w:sz w:val="24"/>
                <w:szCs w:val="20"/>
                <w:lang w:val="en-US" w:eastAsia="zh-CN" w:bidi="ar-SA"/>
              </w:rPr>
              <w:t>2</w:t>
            </w:r>
            <w:r>
              <w:rPr>
                <w:rFonts w:hint="eastAsia" w:ascii="Times New Roman" w:hAnsi="Times New Roman" w:eastAsia="宋体" w:cs="Times New Roman"/>
                <w:color w:val="auto"/>
                <w:kern w:val="0"/>
                <w:sz w:val="24"/>
                <w:szCs w:val="20"/>
                <w:lang w:val="en-US" w:eastAsia="zh-CN" w:bidi="ar-SA"/>
              </w:rPr>
              <w:t>6*4+</w:t>
            </w:r>
            <w:r>
              <w:rPr>
                <w:rFonts w:hint="eastAsia"/>
                <w:color w:val="auto"/>
                <w:sz w:val="24"/>
                <w:lang w:val="en-US" w:eastAsia="zh-CN"/>
              </w:rPr>
              <w:t>0.1656</w:t>
            </w:r>
            <w:r>
              <w:rPr>
                <w:rFonts w:hint="eastAsia" w:ascii="Times New Roman" w:hAnsi="Times New Roman" w:eastAsia="宋体" w:cs="Times New Roman"/>
                <w:color w:val="auto"/>
                <w:kern w:val="0"/>
                <w:sz w:val="24"/>
                <w:szCs w:val="20"/>
                <w:lang w:val="en-US" w:eastAsia="zh-CN" w:bidi="ar-SA"/>
              </w:rPr>
              <w:t>=</w:t>
            </w:r>
            <w:r>
              <w:rPr>
                <w:rFonts w:hint="eastAsia" w:eastAsia="宋体" w:cs="Times New Roman"/>
                <w:color w:val="auto"/>
                <w:kern w:val="0"/>
                <w:sz w:val="24"/>
                <w:szCs w:val="20"/>
                <w:lang w:val="en-US" w:eastAsia="zh-CN" w:bidi="ar-SA"/>
              </w:rPr>
              <w:t>5.2056</w:t>
            </w:r>
            <w:r>
              <w:rPr>
                <w:rFonts w:hint="eastAsia" w:ascii="Times New Roman" w:hAnsi="Times New Roman" w:eastAsia="宋体" w:cs="Times New Roman"/>
                <w:color w:val="auto"/>
                <w:kern w:val="0"/>
                <w:sz w:val="24"/>
                <w:szCs w:val="20"/>
                <w:lang w:val="en-US" w:eastAsia="zh-CN" w:bidi="ar-SA"/>
              </w:rPr>
              <w:t>t/a。</w:t>
            </w:r>
          </w:p>
          <w:p w14:paraId="2EF6AE29">
            <w:pPr>
              <w:spacing w:line="360" w:lineRule="auto"/>
              <w:ind w:firstLine="480" w:firstLineChars="200"/>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sz w:val="24"/>
                <w:highlight w:val="none"/>
                <w:lang w:val="en-US" w:eastAsia="zh-CN"/>
              </w:rPr>
              <w:t>2、</w:t>
            </w:r>
            <w:r>
              <w:rPr>
                <w:rFonts w:hint="eastAsia"/>
                <w:color w:val="auto"/>
                <w:sz w:val="24"/>
                <w:szCs w:val="24"/>
              </w:rPr>
              <w:t>废机油</w:t>
            </w:r>
            <w:r>
              <w:rPr>
                <w:rFonts w:hint="eastAsia" w:ascii="Times New Roman" w:hAnsi="Times New Roman" w:eastAsia="宋体" w:cs="Times New Roman"/>
                <w:color w:val="auto"/>
                <w:sz w:val="24"/>
                <w:szCs w:val="24"/>
                <w:highlight w:val="none"/>
                <w:lang w:val="en-US" w:eastAsia="zh-CN"/>
              </w:rPr>
              <w:t>：项目设备维护润滑过程使用机油，此过程产生废机油，机油使用量为0.1t/a，损耗忽略不计，则</w:t>
            </w:r>
            <w:r>
              <w:rPr>
                <w:rFonts w:hint="eastAsia"/>
                <w:color w:val="auto"/>
                <w:sz w:val="24"/>
                <w:szCs w:val="24"/>
              </w:rPr>
              <w:t>废机油</w:t>
            </w:r>
            <w:r>
              <w:rPr>
                <w:rFonts w:hint="eastAsia" w:ascii="Times New Roman" w:hAnsi="Times New Roman" w:eastAsia="宋体" w:cs="Times New Roman"/>
                <w:color w:val="auto"/>
                <w:sz w:val="24"/>
                <w:szCs w:val="24"/>
                <w:highlight w:val="none"/>
                <w:lang w:val="en-US" w:eastAsia="zh-CN"/>
              </w:rPr>
              <w:t>产</w:t>
            </w:r>
            <w:r>
              <w:rPr>
                <w:rFonts w:hint="eastAsia" w:ascii="Times New Roman" w:hAnsi="Times New Roman" w:eastAsia="宋体" w:cs="Times New Roman"/>
                <w:color w:val="auto"/>
                <w:kern w:val="0"/>
                <w:sz w:val="24"/>
                <w:szCs w:val="24"/>
                <w:highlight w:val="none"/>
                <w:lang w:val="en-US" w:eastAsia="zh-CN" w:bidi="ar-SA"/>
              </w:rPr>
              <w:t>生量为0.1t/a。</w:t>
            </w:r>
          </w:p>
          <w:p w14:paraId="07558E6B">
            <w:pPr>
              <w:pStyle w:val="29"/>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3、废弃包装桶（</w:t>
            </w:r>
            <w:r>
              <w:rPr>
                <w:rFonts w:hint="eastAsia" w:ascii="Times New Roman" w:hAnsi="Times New Roman" w:eastAsia="宋体" w:cs="Times New Roman"/>
                <w:color w:val="auto"/>
                <w:szCs w:val="21"/>
                <w:highlight w:val="none"/>
                <w:lang w:val="en-US" w:eastAsia="zh-CN" w:bidi="ar"/>
              </w:rPr>
              <w:t>环氧树脂AB胶</w:t>
            </w:r>
            <w:r>
              <w:rPr>
                <w:rFonts w:hint="eastAsia" w:ascii="Times New Roman" w:hAnsi="Times New Roman" w:cs="Times New Roman"/>
                <w:color w:val="auto"/>
                <w:szCs w:val="21"/>
                <w:highlight w:val="none"/>
                <w:lang w:val="en-US" w:eastAsia="zh-CN" w:bidi="ar"/>
              </w:rPr>
              <w:t>、机油）</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项目使用机油、</w:t>
            </w:r>
            <w:r>
              <w:rPr>
                <w:rFonts w:hint="eastAsia" w:ascii="Times New Roman" w:hAnsi="Times New Roman" w:eastAsia="宋体" w:cs="Times New Roman"/>
                <w:color w:val="auto"/>
                <w:szCs w:val="21"/>
                <w:highlight w:val="none"/>
                <w:lang w:val="en-US" w:eastAsia="zh-CN" w:bidi="ar"/>
              </w:rPr>
              <w:t>环氧树脂AB胶</w:t>
            </w:r>
            <w:r>
              <w:rPr>
                <w:rFonts w:hint="eastAsia" w:ascii="Times New Roman" w:hAnsi="Times New Roman" w:eastAsia="宋体" w:cs="Times New Roman"/>
                <w:color w:val="auto"/>
                <w:sz w:val="24"/>
                <w:szCs w:val="24"/>
                <w:highlight w:val="none"/>
                <w:lang w:val="en-US" w:eastAsia="zh-CN"/>
              </w:rPr>
              <w:t>过程产生</w:t>
            </w:r>
            <w:r>
              <w:rPr>
                <w:rFonts w:hint="eastAsia" w:ascii="Times New Roman" w:hAnsi="Times New Roman" w:eastAsia="宋体" w:cs="Times New Roman"/>
                <w:color w:val="auto"/>
                <w:kern w:val="0"/>
                <w:sz w:val="24"/>
                <w:szCs w:val="24"/>
                <w:highlight w:val="none"/>
                <w:lang w:val="en-US" w:eastAsia="zh-CN" w:bidi="ar-SA"/>
              </w:rPr>
              <w:t>废弃包装桶</w:t>
            </w:r>
            <w:r>
              <w:rPr>
                <w:rFonts w:hint="eastAsia" w:ascii="Times New Roman" w:hAnsi="Times New Roman" w:eastAsia="宋体" w:cs="Times New Roman"/>
                <w:color w:val="auto"/>
                <w:sz w:val="24"/>
                <w:szCs w:val="24"/>
                <w:highlight w:val="none"/>
                <w:lang w:val="en-US" w:eastAsia="zh-CN"/>
              </w:rPr>
              <w:t>，机油年用量0.</w:t>
            </w:r>
            <w:r>
              <w:rPr>
                <w:rFonts w:hint="eastAsia" w:ascii="Times New Roman" w:hAnsi="Times New Roman" w:eastAsia="宋体" w:cs="Times New Roman"/>
                <w:color w:val="auto"/>
                <w:kern w:val="0"/>
                <w:sz w:val="24"/>
                <w:szCs w:val="24"/>
                <w:highlight w:val="none"/>
                <w:lang w:val="en-US" w:eastAsia="zh-CN" w:bidi="ar-SA"/>
              </w:rPr>
              <w:t>1吨</w:t>
            </w:r>
            <w:r>
              <w:rPr>
                <w:rFonts w:hint="eastAsia" w:ascii="Times New Roman" w:hAnsi="Times New Roman" w:eastAsia="宋体" w:cs="Times New Roman"/>
                <w:color w:val="auto"/>
                <w:kern w:val="0"/>
                <w:sz w:val="24"/>
                <w:szCs w:val="24"/>
                <w:highlight w:val="none"/>
                <w:lang w:val="en-US" w:eastAsia="zh-CN" w:bidi="ar-SA"/>
              </w:rPr>
              <w:t>，包装</w:t>
            </w:r>
            <w:r>
              <w:rPr>
                <w:rFonts w:hint="default" w:ascii="Times New Roman" w:hAnsi="Times New Roman" w:eastAsia="宋体" w:cs="Times New Roman"/>
                <w:color w:val="auto"/>
                <w:kern w:val="0"/>
                <w:sz w:val="24"/>
                <w:szCs w:val="24"/>
                <w:highlight w:val="none"/>
                <w:lang w:val="en-US" w:eastAsia="zh-CN" w:bidi="ar-SA"/>
              </w:rPr>
              <w:t>规格</w:t>
            </w:r>
            <w:r>
              <w:rPr>
                <w:rFonts w:hint="eastAsia" w:ascii="Times New Roman" w:hAnsi="Times New Roman" w:eastAsia="宋体" w:cs="Times New Roman"/>
                <w:color w:val="auto"/>
                <w:kern w:val="0"/>
                <w:sz w:val="24"/>
                <w:szCs w:val="24"/>
                <w:highlight w:val="none"/>
                <w:lang w:val="en-US" w:eastAsia="zh-CN" w:bidi="ar-SA"/>
              </w:rPr>
              <w:t>为20</w:t>
            </w:r>
            <w:r>
              <w:rPr>
                <w:rFonts w:hint="default" w:ascii="Times New Roman" w:hAnsi="Times New Roman" w:eastAsia="宋体" w:cs="Times New Roman"/>
                <w:color w:val="auto"/>
                <w:kern w:val="0"/>
                <w:sz w:val="24"/>
                <w:szCs w:val="24"/>
                <w:highlight w:val="none"/>
                <w:lang w:val="en-US" w:eastAsia="zh-CN" w:bidi="ar-SA"/>
              </w:rPr>
              <w:t>kg</w:t>
            </w:r>
            <w:r>
              <w:rPr>
                <w:rFonts w:hint="eastAsia" w:ascii="Times New Roman" w:hAnsi="Times New Roman" w:eastAsia="宋体" w:cs="Times New Roman"/>
                <w:color w:val="auto"/>
                <w:kern w:val="0"/>
                <w:sz w:val="24"/>
                <w:szCs w:val="24"/>
                <w:highlight w:val="none"/>
                <w:lang w:val="en-US" w:eastAsia="zh-CN" w:bidi="ar-SA"/>
              </w:rPr>
              <w:t>/桶</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则</w:t>
            </w:r>
            <w:r>
              <w:rPr>
                <w:rFonts w:hint="default" w:ascii="Times New Roman" w:hAnsi="Times New Roman" w:eastAsia="宋体" w:cs="Times New Roman"/>
                <w:color w:val="auto"/>
                <w:kern w:val="0"/>
                <w:sz w:val="24"/>
                <w:szCs w:val="24"/>
                <w:highlight w:val="none"/>
                <w:lang w:val="en-US" w:eastAsia="zh-CN" w:bidi="ar-SA"/>
              </w:rPr>
              <w:t>项目产生</w:t>
            </w:r>
            <w:r>
              <w:rPr>
                <w:rFonts w:hint="eastAsia" w:ascii="Times New Roman" w:hAnsi="Times New Roman" w:eastAsia="宋体" w:cs="Times New Roman"/>
                <w:color w:val="auto"/>
                <w:kern w:val="0"/>
                <w:sz w:val="24"/>
                <w:szCs w:val="24"/>
                <w:highlight w:val="none"/>
                <w:lang w:val="en-US" w:eastAsia="zh-CN" w:bidi="ar-SA"/>
              </w:rPr>
              <w:t>机油</w:t>
            </w:r>
            <w:r>
              <w:rPr>
                <w:rFonts w:hint="default" w:ascii="Times New Roman" w:hAnsi="Times New Roman" w:eastAsia="宋体" w:cs="Times New Roman"/>
                <w:color w:val="auto"/>
                <w:kern w:val="0"/>
                <w:sz w:val="24"/>
                <w:szCs w:val="24"/>
                <w:highlight w:val="none"/>
                <w:lang w:val="en-US" w:eastAsia="zh-CN" w:bidi="ar-SA"/>
              </w:rPr>
              <w:t>包装桶约</w:t>
            </w:r>
            <w:r>
              <w:rPr>
                <w:rFonts w:hint="eastAsia" w:ascii="Times New Roman" w:hAnsi="Times New Roman" w:eastAsia="宋体" w:cs="Times New Roman"/>
                <w:color w:val="auto"/>
                <w:kern w:val="0"/>
                <w:sz w:val="24"/>
                <w:szCs w:val="24"/>
                <w:highlight w:val="none"/>
                <w:lang w:val="en-US" w:eastAsia="zh-CN" w:bidi="ar-SA"/>
              </w:rPr>
              <w:t>5个，每个</w:t>
            </w:r>
            <w:r>
              <w:rPr>
                <w:rFonts w:hint="default" w:ascii="Times New Roman" w:hAnsi="Times New Roman" w:eastAsia="宋体" w:cs="Times New Roman"/>
                <w:color w:val="auto"/>
                <w:kern w:val="0"/>
                <w:sz w:val="24"/>
                <w:szCs w:val="24"/>
                <w:highlight w:val="none"/>
                <w:lang w:val="en-US" w:eastAsia="zh-CN" w:bidi="ar-SA"/>
              </w:rPr>
              <w:t>规格</w:t>
            </w:r>
            <w:r>
              <w:rPr>
                <w:rFonts w:hint="eastAsia" w:ascii="Times New Roman" w:hAnsi="Times New Roman" w:eastAsia="宋体" w:cs="Times New Roman"/>
                <w:color w:val="auto"/>
                <w:kern w:val="0"/>
                <w:sz w:val="24"/>
                <w:szCs w:val="24"/>
                <w:highlight w:val="none"/>
                <w:lang w:val="en-US" w:eastAsia="zh-CN" w:bidi="ar-SA"/>
              </w:rPr>
              <w:t>为20</w:t>
            </w:r>
            <w:r>
              <w:rPr>
                <w:rFonts w:hint="default" w:ascii="Times New Roman" w:hAnsi="Times New Roman" w:eastAsia="宋体" w:cs="Times New Roman"/>
                <w:color w:val="auto"/>
                <w:kern w:val="0"/>
                <w:sz w:val="24"/>
                <w:szCs w:val="24"/>
                <w:highlight w:val="none"/>
                <w:lang w:val="en-US" w:eastAsia="zh-CN" w:bidi="ar-SA"/>
              </w:rPr>
              <w:t>kg</w:t>
            </w:r>
            <w:r>
              <w:rPr>
                <w:rFonts w:hint="eastAsia" w:ascii="Times New Roman" w:hAnsi="Times New Roman" w:eastAsia="宋体" w:cs="Times New Roman"/>
                <w:color w:val="auto"/>
                <w:kern w:val="0"/>
                <w:sz w:val="24"/>
                <w:szCs w:val="24"/>
                <w:highlight w:val="none"/>
                <w:lang w:val="en-US" w:eastAsia="zh-CN" w:bidi="ar-SA"/>
              </w:rPr>
              <w:t>/桶约重</w:t>
            </w:r>
            <w:r>
              <w:rPr>
                <w:rFonts w:hint="eastAsia" w:ascii="Times New Roman" w:hAnsi="Times New Roman" w:eastAsia="宋体" w:cs="Times New Roman"/>
                <w:color w:val="auto"/>
                <w:kern w:val="0"/>
                <w:sz w:val="24"/>
                <w:szCs w:val="24"/>
                <w:highlight w:val="none"/>
                <w:lang w:val="en-US" w:eastAsia="zh-CN" w:bidi="ar-SA"/>
              </w:rPr>
              <w:t>1kg；环氧树脂AB胶使用量为0.15吨/年，规格为25kg/桶，则</w:t>
            </w:r>
            <w:r>
              <w:rPr>
                <w:rFonts w:hint="default" w:ascii="Times New Roman" w:hAnsi="Times New Roman" w:eastAsia="宋体" w:cs="Times New Roman"/>
                <w:color w:val="auto"/>
                <w:kern w:val="0"/>
                <w:sz w:val="24"/>
                <w:szCs w:val="24"/>
                <w:highlight w:val="none"/>
                <w:lang w:val="en-US" w:eastAsia="zh-CN" w:bidi="ar-SA"/>
              </w:rPr>
              <w:t>项目产生</w:t>
            </w:r>
            <w:r>
              <w:rPr>
                <w:rFonts w:hint="eastAsia" w:ascii="Times New Roman" w:hAnsi="Times New Roman" w:eastAsia="宋体" w:cs="Times New Roman"/>
                <w:color w:val="auto"/>
                <w:kern w:val="0"/>
                <w:sz w:val="24"/>
                <w:szCs w:val="24"/>
                <w:highlight w:val="none"/>
                <w:lang w:val="en-US" w:eastAsia="zh-CN" w:bidi="ar-SA"/>
              </w:rPr>
              <w:t>环氧树脂AB胶</w:t>
            </w:r>
            <w:r>
              <w:rPr>
                <w:rFonts w:hint="default" w:ascii="Times New Roman" w:hAnsi="Times New Roman" w:eastAsia="宋体" w:cs="Times New Roman"/>
                <w:color w:val="auto"/>
                <w:kern w:val="0"/>
                <w:sz w:val="24"/>
                <w:szCs w:val="24"/>
                <w:highlight w:val="none"/>
                <w:lang w:val="en-US" w:eastAsia="zh-CN" w:bidi="ar-SA"/>
              </w:rPr>
              <w:t>包装桶约</w:t>
            </w:r>
            <w:r>
              <w:rPr>
                <w:rFonts w:hint="eastAsia" w:ascii="Times New Roman" w:hAnsi="Times New Roman" w:eastAsia="宋体" w:cs="Times New Roman"/>
                <w:color w:val="auto"/>
                <w:kern w:val="0"/>
                <w:sz w:val="24"/>
                <w:szCs w:val="24"/>
                <w:highlight w:val="none"/>
                <w:lang w:val="en-US" w:eastAsia="zh-CN" w:bidi="ar-SA"/>
              </w:rPr>
              <w:t>6</w:t>
            </w:r>
            <w:r>
              <w:rPr>
                <w:rFonts w:hint="default" w:ascii="Times New Roman" w:hAnsi="Times New Roman" w:eastAsia="宋体" w:cs="Times New Roman"/>
                <w:color w:val="auto"/>
                <w:kern w:val="0"/>
                <w:sz w:val="24"/>
                <w:szCs w:val="24"/>
                <w:highlight w:val="none"/>
                <w:lang w:val="en-US" w:eastAsia="zh-CN" w:bidi="ar-SA"/>
              </w:rPr>
              <w:t>个</w:t>
            </w:r>
            <w:r>
              <w:rPr>
                <w:rFonts w:hint="eastAsia" w:ascii="Times New Roman" w:hAnsi="Times New Roman" w:eastAsia="宋体" w:cs="Times New Roman"/>
                <w:color w:val="auto"/>
                <w:kern w:val="0"/>
                <w:sz w:val="24"/>
                <w:szCs w:val="24"/>
                <w:highlight w:val="none"/>
                <w:lang w:val="en-US" w:eastAsia="zh-CN" w:bidi="ar-SA"/>
              </w:rPr>
              <w:t>，每个</w:t>
            </w:r>
            <w:r>
              <w:rPr>
                <w:rFonts w:hint="default" w:ascii="Times New Roman" w:hAnsi="Times New Roman" w:eastAsia="宋体" w:cs="Times New Roman"/>
                <w:color w:val="auto"/>
                <w:kern w:val="0"/>
                <w:sz w:val="24"/>
                <w:szCs w:val="24"/>
                <w:highlight w:val="none"/>
                <w:lang w:val="en-US" w:eastAsia="zh-CN" w:bidi="ar-SA"/>
              </w:rPr>
              <w:t>规格</w:t>
            </w:r>
            <w:r>
              <w:rPr>
                <w:rFonts w:hint="eastAsia" w:ascii="Times New Roman" w:hAnsi="Times New Roman" w:eastAsia="宋体" w:cs="Times New Roman"/>
                <w:color w:val="auto"/>
                <w:kern w:val="0"/>
                <w:sz w:val="24"/>
                <w:szCs w:val="24"/>
                <w:highlight w:val="none"/>
                <w:lang w:val="en-US" w:eastAsia="zh-CN" w:bidi="ar-SA"/>
              </w:rPr>
              <w:t>为25</w:t>
            </w:r>
            <w:r>
              <w:rPr>
                <w:rFonts w:hint="default" w:ascii="Times New Roman" w:hAnsi="Times New Roman" w:eastAsia="宋体" w:cs="Times New Roman"/>
                <w:color w:val="auto"/>
                <w:kern w:val="0"/>
                <w:sz w:val="24"/>
                <w:szCs w:val="24"/>
                <w:highlight w:val="none"/>
                <w:lang w:val="en-US" w:eastAsia="zh-CN" w:bidi="ar-SA"/>
              </w:rPr>
              <w:t>kg</w:t>
            </w:r>
            <w:r>
              <w:rPr>
                <w:rFonts w:hint="eastAsia" w:ascii="Times New Roman" w:hAnsi="Times New Roman" w:eastAsia="宋体" w:cs="Times New Roman"/>
                <w:color w:val="auto"/>
                <w:kern w:val="0"/>
                <w:sz w:val="24"/>
                <w:szCs w:val="24"/>
                <w:highlight w:val="none"/>
                <w:lang w:val="en-US" w:eastAsia="zh-CN" w:bidi="ar-SA"/>
              </w:rPr>
              <w:t>/桶约重</w:t>
            </w:r>
            <w:r>
              <w:rPr>
                <w:rFonts w:hint="eastAsia" w:ascii="Times New Roman" w:hAnsi="Times New Roman" w:eastAsia="宋体" w:cs="Times New Roman"/>
                <w:color w:val="auto"/>
                <w:kern w:val="0"/>
                <w:sz w:val="24"/>
                <w:szCs w:val="24"/>
                <w:highlight w:val="none"/>
                <w:lang w:val="en-US" w:eastAsia="zh-CN" w:bidi="ar-SA"/>
              </w:rPr>
              <w:t>1.5</w:t>
            </w:r>
            <w:r>
              <w:rPr>
                <w:rFonts w:hint="eastAsia" w:ascii="Times New Roman" w:hAnsi="Times New Roman" w:eastAsia="宋体" w:cs="Times New Roman"/>
                <w:color w:val="auto"/>
                <w:kern w:val="0"/>
                <w:sz w:val="24"/>
                <w:szCs w:val="24"/>
                <w:highlight w:val="none"/>
                <w:lang w:val="en-US" w:eastAsia="zh-CN" w:bidi="ar-SA"/>
              </w:rPr>
              <w:t>kg；</w:t>
            </w:r>
            <w:r>
              <w:rPr>
                <w:rFonts w:hint="default" w:ascii="Times New Roman" w:hAnsi="Times New Roman" w:eastAsia="宋体" w:cs="Times New Roman"/>
                <w:color w:val="auto"/>
                <w:kern w:val="0"/>
                <w:sz w:val="24"/>
                <w:szCs w:val="24"/>
                <w:highlight w:val="none"/>
                <w:lang w:val="en-US" w:eastAsia="zh-CN" w:bidi="ar-SA"/>
              </w:rPr>
              <w:t>则</w:t>
            </w:r>
            <w:r>
              <w:rPr>
                <w:rFonts w:hint="eastAsia" w:ascii="Times New Roman" w:hAnsi="Times New Roman" w:eastAsia="宋体" w:cs="Times New Roman"/>
                <w:color w:val="auto"/>
                <w:kern w:val="0"/>
                <w:sz w:val="24"/>
                <w:szCs w:val="24"/>
                <w:highlight w:val="none"/>
                <w:lang w:val="en-US" w:eastAsia="zh-CN" w:bidi="ar-SA"/>
              </w:rPr>
              <w:t>废气包装桶</w:t>
            </w:r>
            <w:r>
              <w:rPr>
                <w:rFonts w:hint="default" w:ascii="Times New Roman" w:hAnsi="Times New Roman" w:eastAsia="宋体" w:cs="Times New Roman"/>
                <w:color w:val="auto"/>
                <w:kern w:val="0"/>
                <w:sz w:val="24"/>
                <w:szCs w:val="24"/>
                <w:highlight w:val="none"/>
                <w:lang w:val="en-US" w:eastAsia="zh-CN" w:bidi="ar-SA"/>
              </w:rPr>
              <w:t>产生量约为</w:t>
            </w:r>
            <w:r>
              <w:rPr>
                <w:rFonts w:hint="eastAsia" w:ascii="Times New Roman" w:hAnsi="Times New Roman" w:eastAsia="宋体" w:cs="Times New Roman"/>
                <w:color w:val="auto"/>
                <w:kern w:val="0"/>
                <w:sz w:val="24"/>
                <w:szCs w:val="24"/>
                <w:highlight w:val="none"/>
                <w:lang w:val="en-US" w:eastAsia="zh-CN" w:bidi="ar-SA"/>
              </w:rPr>
              <w:t>0.014</w:t>
            </w:r>
            <w:r>
              <w:rPr>
                <w:rFonts w:hint="default" w:ascii="Times New Roman" w:hAnsi="Times New Roman" w:eastAsia="宋体" w:cs="Times New Roman"/>
                <w:color w:val="auto"/>
                <w:kern w:val="0"/>
                <w:sz w:val="24"/>
                <w:szCs w:val="24"/>
                <w:highlight w:val="none"/>
                <w:lang w:val="en-US" w:eastAsia="zh-CN" w:bidi="ar-SA"/>
              </w:rPr>
              <w:t>t/a。</w:t>
            </w:r>
          </w:p>
          <w:p w14:paraId="4A224ADB">
            <w:pPr>
              <w:pStyle w:val="44"/>
              <w:spacing w:after="0" w:line="360" w:lineRule="auto"/>
              <w:ind w:firstLine="480" w:firstLineChars="20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色粉包装袋：</w:t>
            </w:r>
            <w:r>
              <w:rPr>
                <w:rFonts w:hint="eastAsia"/>
                <w:color w:val="auto"/>
                <w:sz w:val="24"/>
                <w:highlight w:val="none"/>
                <w:lang w:val="en-US" w:eastAsia="zh-CN"/>
              </w:rPr>
              <w:t>项目生产过程使用色粉产生色粉</w:t>
            </w:r>
            <w:r>
              <w:rPr>
                <w:rFonts w:hint="eastAsia" w:ascii="Times New Roman" w:hAnsi="Times New Roman" w:eastAsia="宋体" w:cs="Times New Roman"/>
                <w:color w:val="auto"/>
                <w:sz w:val="24"/>
                <w:szCs w:val="24"/>
                <w:highlight w:val="none"/>
                <w:lang w:val="en-US" w:eastAsia="zh-CN"/>
              </w:rPr>
              <w:t>包装袋，</w:t>
            </w:r>
            <w:r>
              <w:rPr>
                <w:rFonts w:hint="eastAsia" w:ascii="Times New Roman" w:hAnsi="Times New Roman" w:eastAsia="宋体" w:cs="Times New Roman"/>
                <w:color w:val="auto"/>
                <w:sz w:val="24"/>
                <w:szCs w:val="24"/>
                <w:highlight w:val="none"/>
                <w:lang w:eastAsia="zh-CN"/>
              </w:rPr>
              <w:t>包装</w:t>
            </w:r>
            <w:r>
              <w:rPr>
                <w:rFonts w:hint="default" w:ascii="Times New Roman" w:hAnsi="Times New Roman" w:eastAsia="宋体" w:cs="Times New Roman"/>
                <w:color w:val="auto"/>
                <w:sz w:val="24"/>
                <w:szCs w:val="24"/>
                <w:highlight w:val="none"/>
              </w:rPr>
              <w:t>规格</w:t>
            </w:r>
            <w:r>
              <w:rPr>
                <w:rFonts w:hint="eastAsia" w:ascii="Times New Roman" w:hAnsi="Times New Roman" w:eastAsia="宋体" w:cs="Times New Roman"/>
                <w:color w:val="auto"/>
                <w:sz w:val="24"/>
                <w:szCs w:val="24"/>
                <w:highlight w:val="none"/>
                <w:lang w:val="en-US" w:eastAsia="zh-CN"/>
              </w:rPr>
              <w:t>皆</w:t>
            </w:r>
            <w:r>
              <w:rPr>
                <w:rFonts w:hint="default" w:ascii="Times New Roman" w:hAnsi="Times New Roman" w:eastAsia="宋体" w:cs="Times New Roman"/>
                <w:color w:val="auto"/>
                <w:sz w:val="24"/>
                <w:szCs w:val="24"/>
                <w:highlight w:val="none"/>
              </w:rPr>
              <w:t>为</w:t>
            </w:r>
            <w:r>
              <w:rPr>
                <w:rFonts w:hint="eastAsia"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rPr>
              <w:t>kg</w:t>
            </w:r>
            <w:r>
              <w:rPr>
                <w:rFonts w:hint="eastAsia" w:ascii="Times New Roman" w:hAnsi="Times New Roman" w:eastAsia="宋体" w:cs="Times New Roman"/>
                <w:color w:val="auto"/>
                <w:sz w:val="24"/>
                <w:szCs w:val="24"/>
                <w:highlight w:val="none"/>
                <w:lang w:val="en-US" w:eastAsia="zh-CN"/>
              </w:rPr>
              <w:t>/袋</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项目色粉年用量为0.5t/a，</w:t>
            </w:r>
            <w:r>
              <w:rPr>
                <w:rFonts w:hint="eastAsia"/>
                <w:color w:val="auto"/>
                <w:sz w:val="24"/>
                <w:highlight w:val="none"/>
                <w:lang w:val="en-US" w:eastAsia="zh-CN"/>
              </w:rPr>
              <w:t>项目色粉</w:t>
            </w:r>
            <w:r>
              <w:rPr>
                <w:rFonts w:hint="eastAsia" w:ascii="Times New Roman" w:hAnsi="Times New Roman" w:eastAsia="宋体" w:cs="Times New Roman"/>
                <w:color w:val="auto"/>
                <w:sz w:val="24"/>
                <w:szCs w:val="24"/>
                <w:highlight w:val="none"/>
                <w:lang w:val="en-US" w:eastAsia="zh-CN"/>
              </w:rPr>
              <w:t>包装袋</w:t>
            </w:r>
            <w:r>
              <w:rPr>
                <w:rFonts w:hint="eastAsia"/>
                <w:color w:val="auto"/>
                <w:sz w:val="24"/>
                <w:highlight w:val="none"/>
                <w:lang w:val="en-US" w:eastAsia="zh-CN"/>
              </w:rPr>
              <w:t>年产生量为20个，平均每个包装袋重0.1kg，则项目废包装袋年产生量为0.002t/a。</w:t>
            </w:r>
          </w:p>
          <w:p w14:paraId="1B73C533">
            <w:pPr>
              <w:pStyle w:val="29"/>
              <w:ind w:firstLine="480" w:firstLineChars="200"/>
              <w:rPr>
                <w:rFonts w:hint="eastAsia" w:eastAsia="宋体"/>
                <w:lang w:val="en-US" w:eastAsia="zh-CN"/>
              </w:rPr>
            </w:pP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含油废抹布及手套：项目使用</w:t>
            </w:r>
            <w:r>
              <w:rPr>
                <w:rFonts w:hint="eastAsia" w:ascii="Times New Roman" w:hAnsi="Times New Roman" w:eastAsia="宋体" w:cs="Times New Roman"/>
                <w:color w:val="auto"/>
                <w:sz w:val="24"/>
                <w:szCs w:val="24"/>
                <w:highlight w:val="none"/>
                <w:lang w:val="en-US" w:eastAsia="zh-CN"/>
              </w:rPr>
              <w:t>机油时</w:t>
            </w:r>
            <w:r>
              <w:rPr>
                <w:rFonts w:hint="default" w:ascii="Times New Roman" w:hAnsi="Times New Roman" w:eastAsia="宋体" w:cs="Times New Roman"/>
                <w:color w:val="auto"/>
                <w:sz w:val="24"/>
                <w:szCs w:val="24"/>
                <w:highlight w:val="none"/>
              </w:rPr>
              <w:t>，会有少量</w:t>
            </w:r>
            <w:r>
              <w:rPr>
                <w:rFonts w:hint="eastAsia" w:ascii="Times New Roman" w:hAnsi="Times New Roman" w:eastAsia="宋体" w:cs="Times New Roman"/>
                <w:color w:val="auto"/>
                <w:sz w:val="24"/>
                <w:szCs w:val="24"/>
                <w:highlight w:val="none"/>
                <w:lang w:val="en-US" w:eastAsia="zh-CN"/>
              </w:rPr>
              <w:t>机油</w:t>
            </w:r>
            <w:r>
              <w:rPr>
                <w:rFonts w:hint="default" w:ascii="Times New Roman" w:hAnsi="Times New Roman" w:eastAsia="宋体" w:cs="Times New Roman"/>
                <w:color w:val="auto"/>
                <w:sz w:val="24"/>
                <w:szCs w:val="24"/>
                <w:highlight w:val="none"/>
              </w:rPr>
              <w:t>漏出，需要穿戴手套使用抹布进行擦拭。废抹布年产生量为</w:t>
            </w:r>
            <w:r>
              <w:rPr>
                <w:rFonts w:hint="default" w:ascii="Times New Roman" w:hAnsi="Times New Roman" w:eastAsia="宋体" w:cs="Times New Roman"/>
                <w:color w:val="auto"/>
                <w:sz w:val="24"/>
                <w:szCs w:val="24"/>
                <w:highlight w:val="none"/>
                <w:lang w:val="en-US"/>
              </w:rPr>
              <w:t>2</w:t>
            </w:r>
            <w:r>
              <w:rPr>
                <w:rFonts w:hint="default" w:ascii="Times New Roman" w:hAnsi="Times New Roman" w:eastAsia="宋体" w:cs="Times New Roman"/>
                <w:color w:val="auto"/>
                <w:sz w:val="24"/>
                <w:szCs w:val="24"/>
                <w:highlight w:val="none"/>
              </w:rPr>
              <w:t>0块，每块质量约为</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00g，废手套年产生量为</w:t>
            </w:r>
            <w:r>
              <w:rPr>
                <w:rFonts w:hint="default" w:ascii="Times New Roman" w:hAnsi="Times New Roman" w:eastAsia="宋体" w:cs="Times New Roman"/>
                <w:color w:val="auto"/>
                <w:sz w:val="24"/>
                <w:szCs w:val="24"/>
                <w:highlight w:val="none"/>
                <w:lang w:val="en-US"/>
              </w:rPr>
              <w:t>2</w:t>
            </w:r>
            <w:r>
              <w:rPr>
                <w:rFonts w:hint="default" w:ascii="Times New Roman" w:hAnsi="Times New Roman" w:eastAsia="宋体" w:cs="Times New Roman"/>
                <w:color w:val="auto"/>
                <w:sz w:val="24"/>
                <w:szCs w:val="24"/>
                <w:highlight w:val="none"/>
              </w:rPr>
              <w:t>0双，每双质量约为</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00g。则含油废抹布及手套产生量约0.0</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t/a。</w:t>
            </w:r>
          </w:p>
          <w:p w14:paraId="1FCBB5E1">
            <w:pPr>
              <w:pStyle w:val="95"/>
              <w:spacing w:before="120"/>
              <w:ind w:left="0"/>
              <w:rPr>
                <w:b/>
                <w:color w:val="auto"/>
                <w:kern w:val="2"/>
                <w:sz w:val="21"/>
                <w:highlight w:val="none"/>
              </w:rPr>
            </w:pPr>
            <w:r>
              <w:rPr>
                <w:b/>
                <w:color w:val="auto"/>
                <w:kern w:val="2"/>
                <w:sz w:val="21"/>
                <w:highlight w:val="none"/>
              </w:rPr>
              <w:t>项目危险废物汇总表</w:t>
            </w:r>
          </w:p>
          <w:tbl>
            <w:tblPr>
              <w:tblStyle w:val="35"/>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911"/>
              <w:gridCol w:w="776"/>
              <w:gridCol w:w="1253"/>
              <w:gridCol w:w="893"/>
              <w:gridCol w:w="675"/>
              <w:gridCol w:w="468"/>
              <w:gridCol w:w="636"/>
              <w:gridCol w:w="662"/>
              <w:gridCol w:w="577"/>
              <w:gridCol w:w="640"/>
              <w:gridCol w:w="885"/>
            </w:tblGrid>
            <w:tr w14:paraId="5027E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68" w:type="dxa"/>
                  <w:noWrap w:val="0"/>
                  <w:vAlign w:val="center"/>
                </w:tcPr>
                <w:p w14:paraId="3F637074">
                  <w:pPr>
                    <w:widowControl/>
                    <w:adjustRightInd w:val="0"/>
                    <w:snapToGrid w:val="0"/>
                    <w:jc w:val="center"/>
                    <w:rPr>
                      <w:b/>
                      <w:bCs/>
                      <w:color w:val="auto"/>
                      <w:szCs w:val="21"/>
                      <w:highlight w:val="none"/>
                    </w:rPr>
                  </w:pPr>
                  <w:r>
                    <w:rPr>
                      <w:b/>
                      <w:bCs/>
                      <w:color w:val="auto"/>
                      <w:szCs w:val="21"/>
                      <w:highlight w:val="none"/>
                    </w:rPr>
                    <w:t>序号</w:t>
                  </w:r>
                </w:p>
              </w:tc>
              <w:tc>
                <w:tcPr>
                  <w:tcW w:w="911" w:type="dxa"/>
                  <w:noWrap w:val="0"/>
                  <w:vAlign w:val="center"/>
                </w:tcPr>
                <w:p w14:paraId="264A409C">
                  <w:pPr>
                    <w:widowControl/>
                    <w:adjustRightInd w:val="0"/>
                    <w:snapToGrid w:val="0"/>
                    <w:jc w:val="center"/>
                    <w:rPr>
                      <w:b/>
                      <w:bCs/>
                      <w:color w:val="auto"/>
                      <w:szCs w:val="21"/>
                      <w:highlight w:val="none"/>
                    </w:rPr>
                  </w:pPr>
                  <w:r>
                    <w:rPr>
                      <w:b/>
                      <w:bCs/>
                      <w:color w:val="auto"/>
                      <w:szCs w:val="21"/>
                      <w:highlight w:val="none"/>
                    </w:rPr>
                    <w:t>危险废物名称</w:t>
                  </w:r>
                </w:p>
              </w:tc>
              <w:tc>
                <w:tcPr>
                  <w:tcW w:w="776" w:type="dxa"/>
                  <w:noWrap w:val="0"/>
                  <w:vAlign w:val="center"/>
                </w:tcPr>
                <w:p w14:paraId="1842BE25">
                  <w:pPr>
                    <w:widowControl/>
                    <w:adjustRightInd w:val="0"/>
                    <w:snapToGrid w:val="0"/>
                    <w:jc w:val="center"/>
                    <w:rPr>
                      <w:b/>
                      <w:bCs/>
                      <w:color w:val="auto"/>
                      <w:szCs w:val="21"/>
                      <w:highlight w:val="none"/>
                    </w:rPr>
                  </w:pPr>
                  <w:r>
                    <w:rPr>
                      <w:b/>
                      <w:bCs/>
                      <w:color w:val="auto"/>
                      <w:szCs w:val="21"/>
                      <w:highlight w:val="none"/>
                    </w:rPr>
                    <w:t>危险废物类别</w:t>
                  </w:r>
                </w:p>
              </w:tc>
              <w:tc>
                <w:tcPr>
                  <w:tcW w:w="1253" w:type="dxa"/>
                  <w:noWrap w:val="0"/>
                  <w:vAlign w:val="center"/>
                </w:tcPr>
                <w:p w14:paraId="228B488C">
                  <w:pPr>
                    <w:widowControl/>
                    <w:adjustRightInd w:val="0"/>
                    <w:snapToGrid w:val="0"/>
                    <w:jc w:val="center"/>
                    <w:rPr>
                      <w:b/>
                      <w:bCs/>
                      <w:color w:val="auto"/>
                      <w:szCs w:val="21"/>
                      <w:highlight w:val="none"/>
                    </w:rPr>
                  </w:pPr>
                  <w:r>
                    <w:rPr>
                      <w:b/>
                      <w:bCs/>
                      <w:color w:val="auto"/>
                      <w:szCs w:val="21"/>
                      <w:highlight w:val="none"/>
                    </w:rPr>
                    <w:t>危险废物代码</w:t>
                  </w:r>
                </w:p>
              </w:tc>
              <w:tc>
                <w:tcPr>
                  <w:tcW w:w="893" w:type="dxa"/>
                  <w:noWrap w:val="0"/>
                  <w:vAlign w:val="center"/>
                </w:tcPr>
                <w:p w14:paraId="001DF220">
                  <w:pPr>
                    <w:widowControl/>
                    <w:adjustRightInd w:val="0"/>
                    <w:snapToGrid w:val="0"/>
                    <w:jc w:val="center"/>
                    <w:rPr>
                      <w:b/>
                      <w:bCs/>
                      <w:color w:val="auto"/>
                      <w:szCs w:val="21"/>
                      <w:highlight w:val="none"/>
                    </w:rPr>
                  </w:pPr>
                  <w:r>
                    <w:rPr>
                      <w:b/>
                      <w:bCs/>
                      <w:color w:val="auto"/>
                      <w:szCs w:val="21"/>
                      <w:highlight w:val="none"/>
                    </w:rPr>
                    <w:t>产生量</w:t>
                  </w:r>
                </w:p>
                <w:p w14:paraId="557CEC99">
                  <w:pPr>
                    <w:widowControl/>
                    <w:adjustRightInd w:val="0"/>
                    <w:snapToGrid w:val="0"/>
                    <w:jc w:val="center"/>
                    <w:rPr>
                      <w:b/>
                      <w:bCs/>
                      <w:color w:val="auto"/>
                      <w:szCs w:val="21"/>
                      <w:highlight w:val="none"/>
                    </w:rPr>
                  </w:pPr>
                  <w:r>
                    <w:rPr>
                      <w:b/>
                      <w:bCs/>
                      <w:color w:val="auto"/>
                      <w:szCs w:val="21"/>
                      <w:highlight w:val="none"/>
                    </w:rPr>
                    <w:t>（吨/年）</w:t>
                  </w:r>
                </w:p>
              </w:tc>
              <w:tc>
                <w:tcPr>
                  <w:tcW w:w="675" w:type="dxa"/>
                  <w:noWrap w:val="0"/>
                  <w:vAlign w:val="center"/>
                </w:tcPr>
                <w:p w14:paraId="40AE68DD">
                  <w:pPr>
                    <w:widowControl/>
                    <w:adjustRightInd w:val="0"/>
                    <w:snapToGrid w:val="0"/>
                    <w:jc w:val="center"/>
                    <w:rPr>
                      <w:b/>
                      <w:bCs/>
                      <w:color w:val="auto"/>
                      <w:szCs w:val="21"/>
                      <w:highlight w:val="none"/>
                    </w:rPr>
                  </w:pPr>
                  <w:r>
                    <w:rPr>
                      <w:b/>
                      <w:bCs/>
                      <w:color w:val="auto"/>
                      <w:szCs w:val="21"/>
                      <w:highlight w:val="none"/>
                    </w:rPr>
                    <w:t>产生工序及装置</w:t>
                  </w:r>
                </w:p>
              </w:tc>
              <w:tc>
                <w:tcPr>
                  <w:tcW w:w="468" w:type="dxa"/>
                  <w:noWrap w:val="0"/>
                  <w:vAlign w:val="center"/>
                </w:tcPr>
                <w:p w14:paraId="1B3AA93A">
                  <w:pPr>
                    <w:widowControl/>
                    <w:adjustRightInd w:val="0"/>
                    <w:snapToGrid w:val="0"/>
                    <w:jc w:val="center"/>
                    <w:rPr>
                      <w:b/>
                      <w:bCs/>
                      <w:color w:val="auto"/>
                      <w:szCs w:val="21"/>
                      <w:highlight w:val="none"/>
                    </w:rPr>
                  </w:pPr>
                  <w:r>
                    <w:rPr>
                      <w:b/>
                      <w:bCs/>
                      <w:color w:val="auto"/>
                      <w:szCs w:val="21"/>
                      <w:highlight w:val="none"/>
                    </w:rPr>
                    <w:t>形态</w:t>
                  </w:r>
                </w:p>
              </w:tc>
              <w:tc>
                <w:tcPr>
                  <w:tcW w:w="636" w:type="dxa"/>
                  <w:noWrap w:val="0"/>
                  <w:vAlign w:val="center"/>
                </w:tcPr>
                <w:p w14:paraId="63D01867">
                  <w:pPr>
                    <w:widowControl/>
                    <w:adjustRightInd w:val="0"/>
                    <w:snapToGrid w:val="0"/>
                    <w:jc w:val="center"/>
                    <w:rPr>
                      <w:b/>
                      <w:bCs/>
                      <w:color w:val="auto"/>
                      <w:szCs w:val="21"/>
                      <w:highlight w:val="none"/>
                    </w:rPr>
                  </w:pPr>
                  <w:r>
                    <w:rPr>
                      <w:b/>
                      <w:bCs/>
                      <w:color w:val="auto"/>
                      <w:szCs w:val="21"/>
                      <w:highlight w:val="none"/>
                    </w:rPr>
                    <w:t>主要成分</w:t>
                  </w:r>
                </w:p>
              </w:tc>
              <w:tc>
                <w:tcPr>
                  <w:tcW w:w="662" w:type="dxa"/>
                  <w:noWrap w:val="0"/>
                  <w:vAlign w:val="center"/>
                </w:tcPr>
                <w:p w14:paraId="64478B8B">
                  <w:pPr>
                    <w:widowControl/>
                    <w:adjustRightInd w:val="0"/>
                    <w:snapToGrid w:val="0"/>
                    <w:jc w:val="center"/>
                    <w:rPr>
                      <w:b/>
                      <w:bCs/>
                      <w:color w:val="auto"/>
                      <w:szCs w:val="21"/>
                      <w:highlight w:val="none"/>
                    </w:rPr>
                  </w:pPr>
                  <w:r>
                    <w:rPr>
                      <w:b/>
                      <w:bCs/>
                      <w:color w:val="auto"/>
                      <w:szCs w:val="21"/>
                      <w:highlight w:val="none"/>
                    </w:rPr>
                    <w:t>有害成分</w:t>
                  </w:r>
                </w:p>
              </w:tc>
              <w:tc>
                <w:tcPr>
                  <w:tcW w:w="577" w:type="dxa"/>
                  <w:noWrap w:val="0"/>
                  <w:textDirection w:val="tbRlV"/>
                  <w:vAlign w:val="center"/>
                </w:tcPr>
                <w:p w14:paraId="7F982FBF">
                  <w:pPr>
                    <w:widowControl/>
                    <w:adjustRightInd w:val="0"/>
                    <w:snapToGrid w:val="0"/>
                    <w:jc w:val="center"/>
                    <w:rPr>
                      <w:b/>
                      <w:bCs/>
                      <w:color w:val="auto"/>
                      <w:szCs w:val="21"/>
                      <w:highlight w:val="none"/>
                    </w:rPr>
                  </w:pPr>
                  <w:r>
                    <w:rPr>
                      <w:b/>
                      <w:bCs/>
                      <w:color w:val="auto"/>
                      <w:szCs w:val="21"/>
                      <w:highlight w:val="none"/>
                    </w:rPr>
                    <w:t>危险特性</w:t>
                  </w:r>
                </w:p>
              </w:tc>
              <w:tc>
                <w:tcPr>
                  <w:tcW w:w="640" w:type="dxa"/>
                  <w:noWrap w:val="0"/>
                  <w:vAlign w:val="center"/>
                </w:tcPr>
                <w:p w14:paraId="34430E25">
                  <w:pPr>
                    <w:widowControl/>
                    <w:adjustRightInd w:val="0"/>
                    <w:snapToGrid w:val="0"/>
                    <w:jc w:val="center"/>
                    <w:rPr>
                      <w:b/>
                      <w:bCs/>
                      <w:color w:val="auto"/>
                      <w:szCs w:val="21"/>
                      <w:highlight w:val="none"/>
                    </w:rPr>
                  </w:pPr>
                  <w:r>
                    <w:rPr>
                      <w:b/>
                      <w:bCs/>
                      <w:color w:val="auto"/>
                      <w:szCs w:val="21"/>
                      <w:highlight w:val="none"/>
                    </w:rPr>
                    <w:t>产废周期</w:t>
                  </w:r>
                </w:p>
              </w:tc>
              <w:tc>
                <w:tcPr>
                  <w:tcW w:w="885" w:type="dxa"/>
                  <w:noWrap w:val="0"/>
                  <w:vAlign w:val="center"/>
                </w:tcPr>
                <w:p w14:paraId="683494C7">
                  <w:pPr>
                    <w:widowControl/>
                    <w:adjustRightInd w:val="0"/>
                    <w:snapToGrid w:val="0"/>
                    <w:jc w:val="center"/>
                    <w:rPr>
                      <w:b/>
                      <w:bCs/>
                      <w:color w:val="auto"/>
                      <w:szCs w:val="21"/>
                      <w:highlight w:val="none"/>
                    </w:rPr>
                  </w:pPr>
                  <w:r>
                    <w:rPr>
                      <w:b/>
                      <w:bCs/>
                      <w:color w:val="auto"/>
                      <w:szCs w:val="21"/>
                      <w:highlight w:val="none"/>
                    </w:rPr>
                    <w:t>污染防治措施</w:t>
                  </w:r>
                </w:p>
              </w:tc>
            </w:tr>
            <w:tr w14:paraId="62FBD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dxa"/>
                  <w:noWrap w:val="0"/>
                  <w:vAlign w:val="center"/>
                </w:tcPr>
                <w:p w14:paraId="47F85E1F">
                  <w:pPr>
                    <w:numPr>
                      <w:ilvl w:val="0"/>
                      <w:numId w:val="12"/>
                    </w:numPr>
                    <w:topLinePunct/>
                    <w:adjustRightInd w:val="0"/>
                    <w:snapToGrid w:val="0"/>
                    <w:jc w:val="center"/>
                    <w:rPr>
                      <w:rFonts w:hint="eastAsia"/>
                      <w:color w:val="auto"/>
                      <w:szCs w:val="21"/>
                      <w:highlight w:val="none"/>
                    </w:rPr>
                  </w:pPr>
                </w:p>
              </w:tc>
              <w:tc>
                <w:tcPr>
                  <w:tcW w:w="911" w:type="dxa"/>
                  <w:noWrap w:val="0"/>
                  <w:vAlign w:val="center"/>
                </w:tcPr>
                <w:p w14:paraId="3A709F79">
                  <w:pPr>
                    <w:widowControl/>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饱和活性炭</w:t>
                  </w:r>
                </w:p>
              </w:tc>
              <w:tc>
                <w:tcPr>
                  <w:tcW w:w="776" w:type="dxa"/>
                  <w:noWrap w:val="0"/>
                  <w:vAlign w:val="center"/>
                </w:tcPr>
                <w:p w14:paraId="65225E9D">
                  <w:pPr>
                    <w:widowControl/>
                    <w:adjustRightInd w:val="0"/>
                    <w:snapToGrid w:val="0"/>
                    <w:jc w:val="center"/>
                    <w:rPr>
                      <w:color w:val="auto"/>
                      <w:szCs w:val="21"/>
                      <w:highlight w:val="none"/>
                    </w:rPr>
                  </w:pPr>
                  <w:r>
                    <w:rPr>
                      <w:color w:val="auto"/>
                      <w:szCs w:val="21"/>
                      <w:highlight w:val="none"/>
                    </w:rPr>
                    <w:t>HW49</w:t>
                  </w:r>
                </w:p>
              </w:tc>
              <w:tc>
                <w:tcPr>
                  <w:tcW w:w="1253" w:type="dxa"/>
                  <w:noWrap w:val="0"/>
                  <w:vAlign w:val="center"/>
                </w:tcPr>
                <w:p w14:paraId="0B09A20D">
                  <w:pPr>
                    <w:widowControl/>
                    <w:adjustRightInd w:val="0"/>
                    <w:snapToGrid w:val="0"/>
                    <w:jc w:val="center"/>
                    <w:rPr>
                      <w:color w:val="auto"/>
                      <w:szCs w:val="21"/>
                      <w:highlight w:val="none"/>
                    </w:rPr>
                  </w:pPr>
                  <w:r>
                    <w:rPr>
                      <w:color w:val="auto"/>
                      <w:szCs w:val="21"/>
                      <w:highlight w:val="none"/>
                    </w:rPr>
                    <w:t>900-0</w:t>
                  </w:r>
                  <w:r>
                    <w:rPr>
                      <w:rFonts w:hint="eastAsia"/>
                      <w:color w:val="auto"/>
                      <w:szCs w:val="21"/>
                      <w:highlight w:val="none"/>
                    </w:rPr>
                    <w:t>39</w:t>
                  </w:r>
                  <w:r>
                    <w:rPr>
                      <w:color w:val="auto"/>
                      <w:szCs w:val="21"/>
                      <w:highlight w:val="none"/>
                    </w:rPr>
                    <w:t>-49</w:t>
                  </w:r>
                </w:p>
              </w:tc>
              <w:tc>
                <w:tcPr>
                  <w:tcW w:w="893" w:type="dxa"/>
                  <w:noWrap w:val="0"/>
                  <w:vAlign w:val="center"/>
                </w:tcPr>
                <w:p w14:paraId="05719B1C">
                  <w:pPr>
                    <w:widowControl/>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5.2056</w:t>
                  </w:r>
                </w:p>
              </w:tc>
              <w:tc>
                <w:tcPr>
                  <w:tcW w:w="675" w:type="dxa"/>
                  <w:noWrap w:val="0"/>
                  <w:vAlign w:val="center"/>
                </w:tcPr>
                <w:p w14:paraId="5D946C2C">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废气治理</w:t>
                  </w:r>
                </w:p>
              </w:tc>
              <w:tc>
                <w:tcPr>
                  <w:tcW w:w="468" w:type="dxa"/>
                  <w:noWrap w:val="0"/>
                  <w:vAlign w:val="center"/>
                </w:tcPr>
                <w:p w14:paraId="6D721446">
                  <w:pPr>
                    <w:widowControl/>
                    <w:adjustRightInd w:val="0"/>
                    <w:snapToGrid w:val="0"/>
                    <w:jc w:val="center"/>
                    <w:rPr>
                      <w:color w:val="auto"/>
                      <w:szCs w:val="21"/>
                      <w:highlight w:val="none"/>
                    </w:rPr>
                  </w:pPr>
                  <w:r>
                    <w:rPr>
                      <w:color w:val="auto"/>
                      <w:szCs w:val="21"/>
                      <w:highlight w:val="none"/>
                    </w:rPr>
                    <w:t>固态</w:t>
                  </w:r>
                </w:p>
              </w:tc>
              <w:tc>
                <w:tcPr>
                  <w:tcW w:w="636" w:type="dxa"/>
                  <w:noWrap w:val="0"/>
                  <w:vAlign w:val="center"/>
                </w:tcPr>
                <w:p w14:paraId="55F4A45F">
                  <w:pPr>
                    <w:widowControl/>
                    <w:adjustRightInd w:val="0"/>
                    <w:snapToGrid w:val="0"/>
                    <w:jc w:val="center"/>
                    <w:rPr>
                      <w:color w:val="auto"/>
                      <w:szCs w:val="21"/>
                      <w:highlight w:val="none"/>
                    </w:rPr>
                  </w:pPr>
                  <w:r>
                    <w:rPr>
                      <w:color w:val="auto"/>
                      <w:szCs w:val="21"/>
                      <w:highlight w:val="none"/>
                    </w:rPr>
                    <w:t>活性炭</w:t>
                  </w:r>
                </w:p>
              </w:tc>
              <w:tc>
                <w:tcPr>
                  <w:tcW w:w="662" w:type="dxa"/>
                  <w:noWrap w:val="0"/>
                  <w:vAlign w:val="center"/>
                </w:tcPr>
                <w:p w14:paraId="20044A81">
                  <w:pPr>
                    <w:widowControl/>
                    <w:adjustRightInd w:val="0"/>
                    <w:snapToGrid w:val="0"/>
                    <w:jc w:val="center"/>
                    <w:rPr>
                      <w:color w:val="auto"/>
                      <w:szCs w:val="21"/>
                      <w:highlight w:val="none"/>
                    </w:rPr>
                  </w:pPr>
                  <w:r>
                    <w:rPr>
                      <w:color w:val="auto"/>
                      <w:szCs w:val="21"/>
                      <w:highlight w:val="none"/>
                    </w:rPr>
                    <w:t>有机废气</w:t>
                  </w:r>
                </w:p>
              </w:tc>
              <w:tc>
                <w:tcPr>
                  <w:tcW w:w="577" w:type="dxa"/>
                  <w:noWrap w:val="0"/>
                  <w:vAlign w:val="center"/>
                </w:tcPr>
                <w:p w14:paraId="1E339A7E">
                  <w:pPr>
                    <w:widowControl/>
                    <w:adjustRightInd w:val="0"/>
                    <w:snapToGrid w:val="0"/>
                    <w:jc w:val="center"/>
                    <w:rPr>
                      <w:color w:val="auto"/>
                      <w:szCs w:val="21"/>
                      <w:highlight w:val="none"/>
                    </w:rPr>
                  </w:pPr>
                  <w:r>
                    <w:rPr>
                      <w:color w:val="auto"/>
                      <w:szCs w:val="21"/>
                      <w:highlight w:val="none"/>
                    </w:rPr>
                    <w:t>T</w:t>
                  </w:r>
                </w:p>
              </w:tc>
              <w:tc>
                <w:tcPr>
                  <w:tcW w:w="640" w:type="dxa"/>
                  <w:noWrap w:val="0"/>
                  <w:vAlign w:val="center"/>
                </w:tcPr>
                <w:p w14:paraId="38F58DA7">
                  <w:pPr>
                    <w:widowControl/>
                    <w:adjustRightInd w:val="0"/>
                    <w:snapToGrid w:val="0"/>
                    <w:jc w:val="center"/>
                    <w:rPr>
                      <w:rFonts w:hint="default"/>
                      <w:color w:val="auto"/>
                      <w:szCs w:val="21"/>
                      <w:highlight w:val="none"/>
                      <w:lang w:val="en-US"/>
                    </w:rPr>
                  </w:pPr>
                  <w:r>
                    <w:rPr>
                      <w:rFonts w:hint="eastAsia"/>
                      <w:color w:val="auto"/>
                      <w:szCs w:val="21"/>
                      <w:highlight w:val="none"/>
                      <w:lang w:val="en-US" w:eastAsia="zh-CN"/>
                    </w:rPr>
                    <w:t>6个月</w:t>
                  </w:r>
                </w:p>
              </w:tc>
              <w:tc>
                <w:tcPr>
                  <w:tcW w:w="885" w:type="dxa"/>
                  <w:vMerge w:val="restart"/>
                  <w:noWrap w:val="0"/>
                  <w:vAlign w:val="center"/>
                </w:tcPr>
                <w:p w14:paraId="6BAD9344">
                  <w:pPr>
                    <w:widowControl/>
                    <w:adjustRightInd w:val="0"/>
                    <w:snapToGrid w:val="0"/>
                    <w:jc w:val="center"/>
                    <w:rPr>
                      <w:color w:val="auto"/>
                      <w:szCs w:val="21"/>
                      <w:highlight w:val="none"/>
                    </w:rPr>
                  </w:pPr>
                  <w:r>
                    <w:rPr>
                      <w:color w:val="auto"/>
                      <w:szCs w:val="21"/>
                      <w:highlight w:val="none"/>
                    </w:rPr>
                    <w:t>分类存放在危废间定期转移</w:t>
                  </w:r>
                  <w:r>
                    <w:rPr>
                      <w:rFonts w:hint="eastAsia"/>
                      <w:color w:val="auto"/>
                      <w:szCs w:val="21"/>
                      <w:highlight w:val="none"/>
                    </w:rPr>
                    <w:t>，</w:t>
                  </w:r>
                  <w:r>
                    <w:rPr>
                      <w:color w:val="auto"/>
                      <w:szCs w:val="21"/>
                      <w:highlight w:val="none"/>
                    </w:rPr>
                    <w:t>交由具有相关危险废物经营许可证的单位处理</w:t>
                  </w:r>
                </w:p>
              </w:tc>
            </w:tr>
            <w:tr w14:paraId="5EB6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dxa"/>
                  <w:noWrap w:val="0"/>
                  <w:vAlign w:val="center"/>
                </w:tcPr>
                <w:p w14:paraId="38F7F209">
                  <w:pPr>
                    <w:numPr>
                      <w:ilvl w:val="0"/>
                      <w:numId w:val="12"/>
                    </w:numPr>
                    <w:topLinePunct/>
                    <w:adjustRightInd w:val="0"/>
                    <w:snapToGrid w:val="0"/>
                    <w:jc w:val="center"/>
                    <w:rPr>
                      <w:rFonts w:hint="eastAsia"/>
                      <w:color w:val="auto"/>
                      <w:szCs w:val="21"/>
                      <w:highlight w:val="none"/>
                    </w:rPr>
                  </w:pPr>
                </w:p>
              </w:tc>
              <w:tc>
                <w:tcPr>
                  <w:tcW w:w="911" w:type="dxa"/>
                  <w:noWrap w:val="0"/>
                  <w:vAlign w:val="center"/>
                </w:tcPr>
                <w:p w14:paraId="561724CB">
                  <w:pPr>
                    <w:widowControl/>
                    <w:adjustRightInd w:val="0"/>
                    <w:snapToGrid w:val="0"/>
                    <w:jc w:val="center"/>
                    <w:rPr>
                      <w:color w:val="auto"/>
                      <w:kern w:val="2"/>
                      <w:sz w:val="21"/>
                      <w:szCs w:val="21"/>
                      <w:highlight w:val="none"/>
                      <w:lang w:val="en-US" w:eastAsia="zh-CN" w:bidi="ar-SA"/>
                    </w:rPr>
                  </w:pPr>
                  <w:r>
                    <w:rPr>
                      <w:rFonts w:hint="eastAsia"/>
                      <w:color w:val="auto"/>
                      <w:kern w:val="2"/>
                      <w:sz w:val="21"/>
                      <w:szCs w:val="21"/>
                      <w:highlight w:val="none"/>
                      <w:lang w:val="en-US" w:eastAsia="zh-CN" w:bidi="ar-SA"/>
                    </w:rPr>
                    <w:t>废弃包装桶（环氧树脂AB胶、机油）</w:t>
                  </w:r>
                </w:p>
              </w:tc>
              <w:tc>
                <w:tcPr>
                  <w:tcW w:w="776" w:type="dxa"/>
                  <w:noWrap w:val="0"/>
                  <w:vAlign w:val="center"/>
                </w:tcPr>
                <w:p w14:paraId="45FC6561">
                  <w:pPr>
                    <w:widowControl/>
                    <w:adjustRightInd w:val="0"/>
                    <w:snapToGrid w:val="0"/>
                    <w:jc w:val="center"/>
                    <w:rPr>
                      <w:color w:val="auto"/>
                      <w:kern w:val="2"/>
                      <w:sz w:val="21"/>
                      <w:szCs w:val="21"/>
                      <w:highlight w:val="none"/>
                      <w:lang w:val="en-US" w:eastAsia="zh-CN" w:bidi="ar-SA"/>
                    </w:rPr>
                  </w:pPr>
                  <w:r>
                    <w:rPr>
                      <w:color w:val="auto"/>
                      <w:szCs w:val="21"/>
                      <w:highlight w:val="none"/>
                    </w:rPr>
                    <w:t>HW49</w:t>
                  </w:r>
                </w:p>
              </w:tc>
              <w:tc>
                <w:tcPr>
                  <w:tcW w:w="1253" w:type="dxa"/>
                  <w:noWrap w:val="0"/>
                  <w:vAlign w:val="center"/>
                </w:tcPr>
                <w:p w14:paraId="5543B34D">
                  <w:pPr>
                    <w:widowControl/>
                    <w:adjustRightInd w:val="0"/>
                    <w:snapToGrid w:val="0"/>
                    <w:jc w:val="center"/>
                    <w:rPr>
                      <w:color w:val="auto"/>
                      <w:kern w:val="2"/>
                      <w:sz w:val="21"/>
                      <w:szCs w:val="21"/>
                      <w:highlight w:val="none"/>
                      <w:lang w:val="en-US" w:eastAsia="zh-CN" w:bidi="ar-SA"/>
                    </w:rPr>
                  </w:pPr>
                  <w:r>
                    <w:rPr>
                      <w:color w:val="auto"/>
                      <w:szCs w:val="21"/>
                      <w:highlight w:val="none"/>
                    </w:rPr>
                    <w:t>900-041-49</w:t>
                  </w:r>
                </w:p>
              </w:tc>
              <w:tc>
                <w:tcPr>
                  <w:tcW w:w="893" w:type="dxa"/>
                  <w:noWrap w:val="0"/>
                  <w:vAlign w:val="center"/>
                </w:tcPr>
                <w:p w14:paraId="623F4242">
                  <w:pPr>
                    <w:topLinePunct/>
                    <w:adjustRightInd w:val="0"/>
                    <w:snapToGrid w:val="0"/>
                    <w:jc w:val="center"/>
                    <w:rPr>
                      <w:rFonts w:hint="default" w:eastAsia="宋体"/>
                      <w:color w:val="auto"/>
                      <w:szCs w:val="21"/>
                      <w:highlight w:val="none"/>
                      <w:lang w:val="en-US" w:eastAsia="zh-CN"/>
                    </w:rPr>
                  </w:pPr>
                  <w:r>
                    <w:rPr>
                      <w:rFonts w:hint="eastAsia" w:eastAsia="宋体"/>
                      <w:color w:val="auto"/>
                      <w:kern w:val="0"/>
                      <w:szCs w:val="21"/>
                      <w:highlight w:val="none"/>
                      <w:lang w:eastAsia="zh-CN"/>
                    </w:rPr>
                    <w:t>0.0</w:t>
                  </w:r>
                  <w:r>
                    <w:rPr>
                      <w:rFonts w:hint="eastAsia"/>
                      <w:color w:val="auto"/>
                      <w:kern w:val="0"/>
                      <w:szCs w:val="21"/>
                      <w:highlight w:val="none"/>
                      <w:lang w:val="en-US" w:eastAsia="zh-CN"/>
                    </w:rPr>
                    <w:t>14</w:t>
                  </w:r>
                </w:p>
              </w:tc>
              <w:tc>
                <w:tcPr>
                  <w:tcW w:w="675" w:type="dxa"/>
                  <w:vMerge w:val="restart"/>
                  <w:noWrap w:val="0"/>
                  <w:vAlign w:val="center"/>
                </w:tcPr>
                <w:p w14:paraId="21EDA196">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项目生产</w:t>
                  </w:r>
                </w:p>
              </w:tc>
              <w:tc>
                <w:tcPr>
                  <w:tcW w:w="468" w:type="dxa"/>
                  <w:noWrap w:val="0"/>
                  <w:vAlign w:val="center"/>
                </w:tcPr>
                <w:p w14:paraId="76FA9E08">
                  <w:pPr>
                    <w:widowControl/>
                    <w:adjustRightInd w:val="0"/>
                    <w:snapToGrid w:val="0"/>
                    <w:jc w:val="center"/>
                    <w:rPr>
                      <w:rFonts w:hint="default"/>
                      <w:color w:val="auto"/>
                      <w:kern w:val="2"/>
                      <w:sz w:val="21"/>
                      <w:szCs w:val="21"/>
                      <w:highlight w:val="none"/>
                      <w:lang w:val="en-US" w:eastAsia="zh-CN" w:bidi="ar-SA"/>
                    </w:rPr>
                  </w:pPr>
                  <w:r>
                    <w:rPr>
                      <w:color w:val="auto"/>
                      <w:szCs w:val="21"/>
                      <w:highlight w:val="none"/>
                    </w:rPr>
                    <w:t>液态</w:t>
                  </w:r>
                </w:p>
              </w:tc>
              <w:tc>
                <w:tcPr>
                  <w:tcW w:w="636" w:type="dxa"/>
                  <w:noWrap w:val="0"/>
                  <w:vAlign w:val="center"/>
                </w:tcPr>
                <w:p w14:paraId="1CBFC81F">
                  <w:pPr>
                    <w:widowControl/>
                    <w:adjustRightInd w:val="0"/>
                    <w:snapToGrid w:val="0"/>
                    <w:jc w:val="center"/>
                    <w:rPr>
                      <w:rFonts w:hint="eastAsia"/>
                      <w:color w:val="auto"/>
                      <w:kern w:val="2"/>
                      <w:sz w:val="21"/>
                      <w:szCs w:val="21"/>
                      <w:highlight w:val="none"/>
                      <w:lang w:val="en-US" w:eastAsia="zh-CN" w:bidi="ar-SA"/>
                    </w:rPr>
                  </w:pPr>
                  <w:r>
                    <w:rPr>
                      <w:rFonts w:hint="eastAsia"/>
                      <w:color w:val="auto"/>
                      <w:szCs w:val="21"/>
                      <w:highlight w:val="none"/>
                    </w:rPr>
                    <w:t>机油</w:t>
                  </w:r>
                </w:p>
              </w:tc>
              <w:tc>
                <w:tcPr>
                  <w:tcW w:w="662" w:type="dxa"/>
                  <w:noWrap w:val="0"/>
                  <w:vAlign w:val="center"/>
                </w:tcPr>
                <w:p w14:paraId="16FCA36B">
                  <w:pPr>
                    <w:widowControl/>
                    <w:adjustRightInd w:val="0"/>
                    <w:snapToGrid w:val="0"/>
                    <w:jc w:val="center"/>
                    <w:rPr>
                      <w:rFonts w:hint="eastAsia"/>
                      <w:color w:val="auto"/>
                      <w:kern w:val="2"/>
                      <w:sz w:val="21"/>
                      <w:szCs w:val="21"/>
                      <w:highlight w:val="none"/>
                      <w:lang w:val="en-US" w:eastAsia="zh-CN" w:bidi="ar-SA"/>
                    </w:rPr>
                  </w:pPr>
                  <w:r>
                    <w:rPr>
                      <w:rFonts w:hint="eastAsia"/>
                      <w:color w:val="auto"/>
                      <w:szCs w:val="21"/>
                      <w:highlight w:val="none"/>
                    </w:rPr>
                    <w:t>机油</w:t>
                  </w:r>
                </w:p>
              </w:tc>
              <w:tc>
                <w:tcPr>
                  <w:tcW w:w="577" w:type="dxa"/>
                  <w:noWrap w:val="0"/>
                  <w:vAlign w:val="center"/>
                </w:tcPr>
                <w:p w14:paraId="5D4FA550">
                  <w:pPr>
                    <w:widowControl/>
                    <w:adjustRightInd w:val="0"/>
                    <w:snapToGrid w:val="0"/>
                    <w:jc w:val="center"/>
                    <w:rPr>
                      <w:color w:val="auto"/>
                      <w:kern w:val="2"/>
                      <w:sz w:val="21"/>
                      <w:szCs w:val="21"/>
                      <w:highlight w:val="none"/>
                      <w:lang w:val="en-US" w:eastAsia="zh-CN" w:bidi="ar-SA"/>
                    </w:rPr>
                  </w:pPr>
                  <w:r>
                    <w:rPr>
                      <w:color w:val="auto"/>
                      <w:szCs w:val="21"/>
                      <w:highlight w:val="none"/>
                    </w:rPr>
                    <w:t>T，I</w:t>
                  </w:r>
                </w:p>
              </w:tc>
              <w:tc>
                <w:tcPr>
                  <w:tcW w:w="640" w:type="dxa"/>
                  <w:vMerge w:val="restart"/>
                  <w:noWrap w:val="0"/>
                  <w:vAlign w:val="center"/>
                </w:tcPr>
                <w:p w14:paraId="27A5FC63">
                  <w:pPr>
                    <w:widowControl/>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每天</w:t>
                  </w:r>
                </w:p>
              </w:tc>
              <w:tc>
                <w:tcPr>
                  <w:tcW w:w="885" w:type="dxa"/>
                  <w:vMerge w:val="continue"/>
                  <w:noWrap w:val="0"/>
                  <w:vAlign w:val="center"/>
                </w:tcPr>
                <w:p w14:paraId="3481155F">
                  <w:pPr>
                    <w:widowControl/>
                    <w:adjustRightInd w:val="0"/>
                    <w:snapToGrid w:val="0"/>
                    <w:jc w:val="center"/>
                    <w:rPr>
                      <w:color w:val="auto"/>
                      <w:szCs w:val="21"/>
                      <w:highlight w:val="none"/>
                    </w:rPr>
                  </w:pPr>
                </w:p>
              </w:tc>
            </w:tr>
            <w:tr w14:paraId="535CB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dxa"/>
                  <w:noWrap w:val="0"/>
                  <w:vAlign w:val="center"/>
                </w:tcPr>
                <w:p w14:paraId="0D0A20B7">
                  <w:pPr>
                    <w:numPr>
                      <w:ilvl w:val="0"/>
                      <w:numId w:val="12"/>
                    </w:numPr>
                    <w:topLinePunct/>
                    <w:adjustRightInd w:val="0"/>
                    <w:snapToGrid w:val="0"/>
                    <w:jc w:val="center"/>
                    <w:rPr>
                      <w:rFonts w:hint="eastAsia"/>
                      <w:color w:val="auto"/>
                      <w:szCs w:val="21"/>
                      <w:highlight w:val="none"/>
                    </w:rPr>
                  </w:pPr>
                </w:p>
              </w:tc>
              <w:tc>
                <w:tcPr>
                  <w:tcW w:w="911" w:type="dxa"/>
                  <w:noWrap w:val="0"/>
                  <w:vAlign w:val="center"/>
                </w:tcPr>
                <w:p w14:paraId="1F0BA3B2">
                  <w:pPr>
                    <w:widowControl/>
                    <w:adjustRightInd w:val="0"/>
                    <w:snapToGrid w:val="0"/>
                    <w:jc w:val="center"/>
                    <w:rPr>
                      <w:rFonts w:hint="eastAsia" w:eastAsia="宋体"/>
                      <w:color w:val="auto"/>
                      <w:kern w:val="2"/>
                      <w:sz w:val="21"/>
                      <w:szCs w:val="21"/>
                      <w:highlight w:val="none"/>
                      <w:lang w:val="en-US" w:eastAsia="zh-CN" w:bidi="ar-SA"/>
                    </w:rPr>
                  </w:pPr>
                  <w:r>
                    <w:rPr>
                      <w:rFonts w:hint="eastAsia"/>
                      <w:color w:val="auto"/>
                      <w:szCs w:val="21"/>
                      <w:highlight w:val="none"/>
                      <w:lang w:eastAsia="zh-CN"/>
                    </w:rPr>
                    <w:t>废</w:t>
                  </w:r>
                  <w:r>
                    <w:rPr>
                      <w:rFonts w:hint="eastAsia"/>
                      <w:color w:val="auto"/>
                      <w:szCs w:val="21"/>
                      <w:highlight w:val="none"/>
                    </w:rPr>
                    <w:t>机油</w:t>
                  </w:r>
                </w:p>
              </w:tc>
              <w:tc>
                <w:tcPr>
                  <w:tcW w:w="776" w:type="dxa"/>
                  <w:noWrap w:val="0"/>
                  <w:vAlign w:val="center"/>
                </w:tcPr>
                <w:p w14:paraId="08FA6831">
                  <w:pPr>
                    <w:widowControl/>
                    <w:adjustRightInd w:val="0"/>
                    <w:snapToGrid w:val="0"/>
                    <w:jc w:val="center"/>
                    <w:rPr>
                      <w:rFonts w:hint="eastAsia" w:eastAsia="宋体"/>
                      <w:color w:val="auto"/>
                      <w:kern w:val="2"/>
                      <w:sz w:val="21"/>
                      <w:szCs w:val="21"/>
                      <w:highlight w:val="none"/>
                      <w:lang w:val="en-US" w:eastAsia="zh-CN" w:bidi="ar-SA"/>
                    </w:rPr>
                  </w:pPr>
                  <w:r>
                    <w:rPr>
                      <w:color w:val="auto"/>
                      <w:szCs w:val="21"/>
                      <w:highlight w:val="none"/>
                    </w:rPr>
                    <w:t>HW0</w:t>
                  </w:r>
                  <w:r>
                    <w:rPr>
                      <w:rFonts w:hint="eastAsia"/>
                      <w:color w:val="auto"/>
                      <w:szCs w:val="21"/>
                      <w:highlight w:val="none"/>
                      <w:lang w:val="en-US" w:eastAsia="zh-CN"/>
                    </w:rPr>
                    <w:t>8</w:t>
                  </w:r>
                </w:p>
              </w:tc>
              <w:tc>
                <w:tcPr>
                  <w:tcW w:w="1253" w:type="dxa"/>
                  <w:noWrap w:val="0"/>
                  <w:vAlign w:val="center"/>
                </w:tcPr>
                <w:p w14:paraId="684C0943">
                  <w:pPr>
                    <w:widowControl/>
                    <w:adjustRightInd w:val="0"/>
                    <w:snapToGrid w:val="0"/>
                    <w:jc w:val="center"/>
                    <w:rPr>
                      <w:rFonts w:hint="eastAsia"/>
                      <w:color w:val="auto"/>
                      <w:kern w:val="2"/>
                      <w:sz w:val="21"/>
                      <w:szCs w:val="21"/>
                      <w:highlight w:val="none"/>
                      <w:lang w:val="en-US" w:eastAsia="zh-CN" w:bidi="ar-SA"/>
                    </w:rPr>
                  </w:pPr>
                  <w:r>
                    <w:rPr>
                      <w:color w:val="auto"/>
                      <w:szCs w:val="21"/>
                      <w:highlight w:val="none"/>
                    </w:rPr>
                    <w:t>900-249-08</w:t>
                  </w:r>
                </w:p>
              </w:tc>
              <w:tc>
                <w:tcPr>
                  <w:tcW w:w="893" w:type="dxa"/>
                  <w:noWrap w:val="0"/>
                  <w:vAlign w:val="center"/>
                </w:tcPr>
                <w:p w14:paraId="27B3038C">
                  <w:pPr>
                    <w:topLinePunct/>
                    <w:adjustRightInd w:val="0"/>
                    <w:snapToGrid w:val="0"/>
                    <w:jc w:val="center"/>
                    <w:rPr>
                      <w:rFonts w:hint="default" w:eastAsia="宋体"/>
                      <w:color w:val="auto"/>
                      <w:szCs w:val="21"/>
                      <w:highlight w:val="none"/>
                      <w:lang w:val="en-US" w:eastAsia="zh-CN"/>
                    </w:rPr>
                  </w:pPr>
                  <w:r>
                    <w:rPr>
                      <w:rFonts w:hint="eastAsia" w:eastAsia="宋体"/>
                      <w:color w:val="auto"/>
                      <w:kern w:val="0"/>
                      <w:szCs w:val="21"/>
                      <w:highlight w:val="none"/>
                      <w:lang w:eastAsia="zh-CN"/>
                    </w:rPr>
                    <w:t>0.</w:t>
                  </w:r>
                  <w:r>
                    <w:rPr>
                      <w:rFonts w:hint="eastAsia"/>
                      <w:color w:val="auto"/>
                      <w:kern w:val="0"/>
                      <w:szCs w:val="21"/>
                      <w:highlight w:val="none"/>
                      <w:lang w:val="en-US" w:eastAsia="zh-CN"/>
                    </w:rPr>
                    <w:t>1</w:t>
                  </w:r>
                </w:p>
              </w:tc>
              <w:tc>
                <w:tcPr>
                  <w:tcW w:w="675" w:type="dxa"/>
                  <w:vMerge w:val="continue"/>
                  <w:noWrap w:val="0"/>
                  <w:vAlign w:val="center"/>
                </w:tcPr>
                <w:p w14:paraId="21D5ED33">
                  <w:pPr>
                    <w:widowControl/>
                    <w:adjustRightInd w:val="0"/>
                    <w:snapToGrid w:val="0"/>
                    <w:jc w:val="center"/>
                    <w:rPr>
                      <w:rFonts w:hint="eastAsia"/>
                      <w:color w:val="auto"/>
                      <w:szCs w:val="21"/>
                      <w:highlight w:val="none"/>
                    </w:rPr>
                  </w:pPr>
                </w:p>
              </w:tc>
              <w:tc>
                <w:tcPr>
                  <w:tcW w:w="468" w:type="dxa"/>
                  <w:noWrap w:val="0"/>
                  <w:vAlign w:val="center"/>
                </w:tcPr>
                <w:p w14:paraId="6239CBB4">
                  <w:pPr>
                    <w:widowControl/>
                    <w:adjustRightInd w:val="0"/>
                    <w:snapToGrid w:val="0"/>
                    <w:jc w:val="center"/>
                    <w:rPr>
                      <w:color w:val="auto"/>
                      <w:kern w:val="2"/>
                      <w:sz w:val="21"/>
                      <w:szCs w:val="21"/>
                      <w:highlight w:val="none"/>
                      <w:lang w:val="en-US" w:eastAsia="zh-CN" w:bidi="ar-SA"/>
                    </w:rPr>
                  </w:pPr>
                  <w:r>
                    <w:rPr>
                      <w:color w:val="auto"/>
                      <w:szCs w:val="21"/>
                      <w:highlight w:val="none"/>
                    </w:rPr>
                    <w:t>液态</w:t>
                  </w:r>
                </w:p>
              </w:tc>
              <w:tc>
                <w:tcPr>
                  <w:tcW w:w="636" w:type="dxa"/>
                  <w:noWrap w:val="0"/>
                  <w:vAlign w:val="center"/>
                </w:tcPr>
                <w:p w14:paraId="7CB0888D">
                  <w:pPr>
                    <w:widowControl/>
                    <w:adjustRightInd w:val="0"/>
                    <w:snapToGrid w:val="0"/>
                    <w:jc w:val="center"/>
                    <w:rPr>
                      <w:rFonts w:hint="eastAsia" w:eastAsia="宋体"/>
                      <w:color w:val="auto"/>
                      <w:kern w:val="2"/>
                      <w:sz w:val="21"/>
                      <w:szCs w:val="21"/>
                      <w:highlight w:val="none"/>
                      <w:lang w:val="en-US" w:eastAsia="zh-CN" w:bidi="ar-SA"/>
                    </w:rPr>
                  </w:pPr>
                  <w:r>
                    <w:rPr>
                      <w:rFonts w:hint="eastAsia"/>
                      <w:color w:val="auto"/>
                      <w:szCs w:val="21"/>
                      <w:highlight w:val="none"/>
                    </w:rPr>
                    <w:t>机油</w:t>
                  </w:r>
                </w:p>
              </w:tc>
              <w:tc>
                <w:tcPr>
                  <w:tcW w:w="662" w:type="dxa"/>
                  <w:noWrap w:val="0"/>
                  <w:vAlign w:val="center"/>
                </w:tcPr>
                <w:p w14:paraId="45B31761">
                  <w:pPr>
                    <w:widowControl/>
                    <w:adjustRightInd w:val="0"/>
                    <w:snapToGrid w:val="0"/>
                    <w:jc w:val="center"/>
                    <w:rPr>
                      <w:rFonts w:hint="eastAsia"/>
                      <w:color w:val="auto"/>
                      <w:kern w:val="2"/>
                      <w:sz w:val="21"/>
                      <w:szCs w:val="21"/>
                      <w:highlight w:val="none"/>
                      <w:lang w:val="en-US" w:eastAsia="zh-CN" w:bidi="ar-SA"/>
                    </w:rPr>
                  </w:pPr>
                  <w:r>
                    <w:rPr>
                      <w:rFonts w:hint="eastAsia"/>
                      <w:color w:val="auto"/>
                      <w:szCs w:val="21"/>
                      <w:highlight w:val="none"/>
                    </w:rPr>
                    <w:t>机油</w:t>
                  </w:r>
                </w:p>
              </w:tc>
              <w:tc>
                <w:tcPr>
                  <w:tcW w:w="577" w:type="dxa"/>
                  <w:noWrap w:val="0"/>
                  <w:vAlign w:val="center"/>
                </w:tcPr>
                <w:p w14:paraId="24D1DB67">
                  <w:pPr>
                    <w:widowControl/>
                    <w:adjustRightInd w:val="0"/>
                    <w:snapToGrid w:val="0"/>
                    <w:jc w:val="center"/>
                    <w:rPr>
                      <w:color w:val="auto"/>
                      <w:kern w:val="2"/>
                      <w:sz w:val="21"/>
                      <w:szCs w:val="21"/>
                      <w:highlight w:val="none"/>
                      <w:lang w:val="en-US" w:eastAsia="zh-CN" w:bidi="ar-SA"/>
                    </w:rPr>
                  </w:pPr>
                  <w:r>
                    <w:rPr>
                      <w:color w:val="auto"/>
                      <w:szCs w:val="21"/>
                      <w:highlight w:val="none"/>
                    </w:rPr>
                    <w:t>T，I</w:t>
                  </w:r>
                </w:p>
              </w:tc>
              <w:tc>
                <w:tcPr>
                  <w:tcW w:w="640" w:type="dxa"/>
                  <w:vMerge w:val="continue"/>
                  <w:noWrap w:val="0"/>
                  <w:vAlign w:val="center"/>
                </w:tcPr>
                <w:p w14:paraId="39750A97">
                  <w:pPr>
                    <w:widowControl/>
                    <w:adjustRightInd w:val="0"/>
                    <w:snapToGrid w:val="0"/>
                    <w:jc w:val="center"/>
                    <w:rPr>
                      <w:rFonts w:hint="eastAsia"/>
                      <w:color w:val="auto"/>
                      <w:szCs w:val="21"/>
                      <w:highlight w:val="none"/>
                      <w:lang w:val="en-US" w:eastAsia="zh-CN"/>
                    </w:rPr>
                  </w:pPr>
                </w:p>
              </w:tc>
              <w:tc>
                <w:tcPr>
                  <w:tcW w:w="885" w:type="dxa"/>
                  <w:vMerge w:val="continue"/>
                  <w:noWrap w:val="0"/>
                  <w:vAlign w:val="center"/>
                </w:tcPr>
                <w:p w14:paraId="627BB01C">
                  <w:pPr>
                    <w:widowControl/>
                    <w:adjustRightInd w:val="0"/>
                    <w:snapToGrid w:val="0"/>
                    <w:jc w:val="center"/>
                    <w:rPr>
                      <w:color w:val="auto"/>
                      <w:szCs w:val="21"/>
                      <w:highlight w:val="none"/>
                    </w:rPr>
                  </w:pPr>
                </w:p>
              </w:tc>
            </w:tr>
            <w:tr w14:paraId="35D65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dxa"/>
                  <w:noWrap w:val="0"/>
                  <w:vAlign w:val="center"/>
                </w:tcPr>
                <w:p w14:paraId="43529D71">
                  <w:pPr>
                    <w:numPr>
                      <w:ilvl w:val="0"/>
                      <w:numId w:val="12"/>
                    </w:numPr>
                    <w:topLinePunct/>
                    <w:adjustRightInd w:val="0"/>
                    <w:snapToGrid w:val="0"/>
                    <w:jc w:val="center"/>
                    <w:rPr>
                      <w:rFonts w:hint="eastAsia"/>
                      <w:color w:val="auto"/>
                      <w:szCs w:val="21"/>
                      <w:highlight w:val="none"/>
                    </w:rPr>
                  </w:pPr>
                </w:p>
              </w:tc>
              <w:tc>
                <w:tcPr>
                  <w:tcW w:w="911" w:type="dxa"/>
                  <w:noWrap w:val="0"/>
                  <w:vAlign w:val="center"/>
                </w:tcPr>
                <w:p w14:paraId="4FC1F6D9">
                  <w:pPr>
                    <w:adjustRightInd w:val="0"/>
                    <w:snapToGrid w:val="0"/>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含油废抹布及手套</w:t>
                  </w:r>
                </w:p>
              </w:tc>
              <w:tc>
                <w:tcPr>
                  <w:tcW w:w="776" w:type="dxa"/>
                  <w:noWrap w:val="0"/>
                  <w:vAlign w:val="center"/>
                </w:tcPr>
                <w:p w14:paraId="73CA8C52">
                  <w:pPr>
                    <w:widowControl/>
                    <w:adjustRightInd w:val="0"/>
                    <w:snapToGrid w:val="0"/>
                    <w:jc w:val="center"/>
                    <w:rPr>
                      <w:rFonts w:hint="default" w:eastAsia="宋体"/>
                      <w:color w:val="auto"/>
                      <w:kern w:val="2"/>
                      <w:sz w:val="21"/>
                      <w:szCs w:val="21"/>
                      <w:highlight w:val="none"/>
                      <w:lang w:val="en-US" w:eastAsia="zh-CN" w:bidi="ar-SA"/>
                    </w:rPr>
                  </w:pPr>
                  <w:r>
                    <w:rPr>
                      <w:color w:val="auto"/>
                      <w:szCs w:val="21"/>
                      <w:highlight w:val="none"/>
                    </w:rPr>
                    <w:t>HW</w:t>
                  </w:r>
                  <w:r>
                    <w:rPr>
                      <w:rFonts w:hint="eastAsia"/>
                      <w:color w:val="auto"/>
                      <w:szCs w:val="21"/>
                      <w:highlight w:val="none"/>
                      <w:lang w:val="en-US" w:eastAsia="zh-CN"/>
                    </w:rPr>
                    <w:t>49</w:t>
                  </w:r>
                </w:p>
              </w:tc>
              <w:tc>
                <w:tcPr>
                  <w:tcW w:w="1253" w:type="dxa"/>
                  <w:noWrap w:val="0"/>
                  <w:vAlign w:val="center"/>
                </w:tcPr>
                <w:p w14:paraId="1B334030">
                  <w:pPr>
                    <w:widowControl/>
                    <w:adjustRightInd w:val="0"/>
                    <w:snapToGrid w:val="0"/>
                    <w:jc w:val="center"/>
                    <w:rPr>
                      <w:color w:val="auto"/>
                      <w:kern w:val="2"/>
                      <w:sz w:val="21"/>
                      <w:szCs w:val="21"/>
                      <w:highlight w:val="none"/>
                      <w:lang w:val="en-US" w:eastAsia="zh-CN" w:bidi="ar-SA"/>
                    </w:rPr>
                  </w:pPr>
                  <w:r>
                    <w:rPr>
                      <w:color w:val="auto"/>
                      <w:szCs w:val="21"/>
                      <w:highlight w:val="none"/>
                    </w:rPr>
                    <w:t>900-</w:t>
                  </w:r>
                  <w:r>
                    <w:rPr>
                      <w:rFonts w:hint="eastAsia" w:ascii="Times New Roman" w:hAnsi="Times New Roman" w:eastAsia="宋体" w:cs="Times New Roman"/>
                      <w:color w:val="auto"/>
                      <w:szCs w:val="21"/>
                      <w:highlight w:val="none"/>
                      <w:lang w:val="en-US" w:eastAsia="zh-CN"/>
                    </w:rPr>
                    <w:t>041-49</w:t>
                  </w:r>
                </w:p>
              </w:tc>
              <w:tc>
                <w:tcPr>
                  <w:tcW w:w="893" w:type="dxa"/>
                  <w:noWrap w:val="0"/>
                  <w:vAlign w:val="center"/>
                </w:tcPr>
                <w:p w14:paraId="3E7B2F5C">
                  <w:pPr>
                    <w:topLinePunct/>
                    <w:adjustRightInd w:val="0"/>
                    <w:snapToGrid w:val="0"/>
                    <w:jc w:val="center"/>
                    <w:rPr>
                      <w:rFonts w:hint="eastAsia" w:eastAsia="宋体"/>
                      <w:color w:val="auto"/>
                      <w:kern w:val="0"/>
                      <w:sz w:val="21"/>
                      <w:szCs w:val="21"/>
                      <w:highlight w:val="none"/>
                      <w:lang w:val="en-US" w:eastAsia="zh-CN" w:bidi="ar-SA"/>
                    </w:rPr>
                  </w:pPr>
                  <w:r>
                    <w:rPr>
                      <w:rFonts w:hint="eastAsia"/>
                      <w:color w:val="auto"/>
                      <w:kern w:val="0"/>
                      <w:szCs w:val="21"/>
                      <w:highlight w:val="none"/>
                      <w:lang w:val="en-US" w:eastAsia="zh-CN"/>
                    </w:rPr>
                    <w:t>0.01</w:t>
                  </w:r>
                </w:p>
              </w:tc>
              <w:tc>
                <w:tcPr>
                  <w:tcW w:w="675" w:type="dxa"/>
                  <w:vMerge w:val="continue"/>
                  <w:noWrap w:val="0"/>
                  <w:vAlign w:val="center"/>
                </w:tcPr>
                <w:p w14:paraId="4BA7F64F">
                  <w:pPr>
                    <w:widowControl/>
                    <w:adjustRightInd w:val="0"/>
                    <w:snapToGrid w:val="0"/>
                    <w:jc w:val="center"/>
                    <w:rPr>
                      <w:rFonts w:hint="eastAsia"/>
                      <w:color w:val="auto"/>
                      <w:kern w:val="2"/>
                      <w:sz w:val="21"/>
                      <w:szCs w:val="21"/>
                      <w:highlight w:val="none"/>
                      <w:lang w:val="en-US" w:eastAsia="zh-CN" w:bidi="ar-SA"/>
                    </w:rPr>
                  </w:pPr>
                </w:p>
              </w:tc>
              <w:tc>
                <w:tcPr>
                  <w:tcW w:w="468" w:type="dxa"/>
                  <w:noWrap w:val="0"/>
                  <w:vAlign w:val="center"/>
                </w:tcPr>
                <w:p w14:paraId="2E14199F">
                  <w:pPr>
                    <w:widowControl/>
                    <w:adjustRightInd w:val="0"/>
                    <w:snapToGrid w:val="0"/>
                    <w:jc w:val="center"/>
                    <w:rPr>
                      <w:color w:val="auto"/>
                      <w:kern w:val="2"/>
                      <w:sz w:val="21"/>
                      <w:szCs w:val="21"/>
                      <w:highlight w:val="none"/>
                      <w:lang w:val="en-US" w:eastAsia="zh-CN" w:bidi="ar-SA"/>
                    </w:rPr>
                  </w:pPr>
                  <w:r>
                    <w:rPr>
                      <w:rFonts w:hint="eastAsia"/>
                      <w:color w:val="auto"/>
                      <w:szCs w:val="21"/>
                      <w:highlight w:val="none"/>
                      <w:lang w:eastAsia="zh-CN"/>
                    </w:rPr>
                    <w:t>固</w:t>
                  </w:r>
                  <w:r>
                    <w:rPr>
                      <w:color w:val="auto"/>
                      <w:szCs w:val="21"/>
                      <w:highlight w:val="none"/>
                    </w:rPr>
                    <w:t>态</w:t>
                  </w:r>
                </w:p>
              </w:tc>
              <w:tc>
                <w:tcPr>
                  <w:tcW w:w="636" w:type="dxa"/>
                  <w:noWrap w:val="0"/>
                  <w:vAlign w:val="center"/>
                </w:tcPr>
                <w:p w14:paraId="1C07EAA8">
                  <w:pPr>
                    <w:widowControl/>
                    <w:adjustRightInd w:val="0"/>
                    <w:snapToGrid w:val="0"/>
                    <w:jc w:val="center"/>
                    <w:rPr>
                      <w:rFonts w:hint="eastAsia"/>
                      <w:color w:val="auto"/>
                      <w:kern w:val="2"/>
                      <w:sz w:val="21"/>
                      <w:szCs w:val="21"/>
                      <w:highlight w:val="none"/>
                      <w:lang w:val="en-US" w:eastAsia="zh-CN" w:bidi="ar-SA"/>
                    </w:rPr>
                  </w:pPr>
                  <w:r>
                    <w:rPr>
                      <w:rFonts w:hint="eastAsia"/>
                      <w:color w:val="auto"/>
                      <w:szCs w:val="21"/>
                      <w:highlight w:val="none"/>
                    </w:rPr>
                    <w:t>机油</w:t>
                  </w:r>
                </w:p>
              </w:tc>
              <w:tc>
                <w:tcPr>
                  <w:tcW w:w="662" w:type="dxa"/>
                  <w:noWrap w:val="0"/>
                  <w:vAlign w:val="center"/>
                </w:tcPr>
                <w:p w14:paraId="51140147">
                  <w:pPr>
                    <w:widowControl/>
                    <w:adjustRightInd w:val="0"/>
                    <w:snapToGrid w:val="0"/>
                    <w:jc w:val="center"/>
                    <w:rPr>
                      <w:rFonts w:hint="eastAsia"/>
                      <w:color w:val="auto"/>
                      <w:kern w:val="2"/>
                      <w:sz w:val="21"/>
                      <w:szCs w:val="21"/>
                      <w:highlight w:val="none"/>
                      <w:lang w:val="en-US" w:eastAsia="zh-CN" w:bidi="ar-SA"/>
                    </w:rPr>
                  </w:pPr>
                  <w:r>
                    <w:rPr>
                      <w:rFonts w:hint="eastAsia"/>
                      <w:color w:val="auto"/>
                      <w:szCs w:val="21"/>
                      <w:highlight w:val="none"/>
                    </w:rPr>
                    <w:t>机油</w:t>
                  </w:r>
                </w:p>
              </w:tc>
              <w:tc>
                <w:tcPr>
                  <w:tcW w:w="577" w:type="dxa"/>
                  <w:noWrap w:val="0"/>
                  <w:vAlign w:val="center"/>
                </w:tcPr>
                <w:p w14:paraId="4F25E631">
                  <w:pPr>
                    <w:widowControl/>
                    <w:adjustRightInd w:val="0"/>
                    <w:snapToGrid w:val="0"/>
                    <w:jc w:val="center"/>
                    <w:rPr>
                      <w:color w:val="auto"/>
                      <w:kern w:val="2"/>
                      <w:sz w:val="21"/>
                      <w:szCs w:val="21"/>
                      <w:highlight w:val="none"/>
                      <w:lang w:val="en-US" w:eastAsia="zh-CN" w:bidi="ar-SA"/>
                    </w:rPr>
                  </w:pPr>
                  <w:r>
                    <w:rPr>
                      <w:color w:val="auto"/>
                      <w:szCs w:val="21"/>
                      <w:highlight w:val="none"/>
                    </w:rPr>
                    <w:t>T，I</w:t>
                  </w:r>
                </w:p>
              </w:tc>
              <w:tc>
                <w:tcPr>
                  <w:tcW w:w="640" w:type="dxa"/>
                  <w:vMerge w:val="continue"/>
                  <w:noWrap w:val="0"/>
                  <w:vAlign w:val="center"/>
                </w:tcPr>
                <w:p w14:paraId="23E62A69">
                  <w:pPr>
                    <w:widowControl/>
                    <w:adjustRightInd w:val="0"/>
                    <w:snapToGrid w:val="0"/>
                    <w:jc w:val="center"/>
                    <w:rPr>
                      <w:rFonts w:hint="eastAsia"/>
                      <w:color w:val="auto"/>
                      <w:szCs w:val="21"/>
                      <w:highlight w:val="none"/>
                      <w:lang w:val="en-US" w:eastAsia="zh-CN"/>
                    </w:rPr>
                  </w:pPr>
                </w:p>
              </w:tc>
              <w:tc>
                <w:tcPr>
                  <w:tcW w:w="885" w:type="dxa"/>
                  <w:vMerge w:val="continue"/>
                  <w:noWrap w:val="0"/>
                  <w:vAlign w:val="center"/>
                </w:tcPr>
                <w:p w14:paraId="505F3D26">
                  <w:pPr>
                    <w:widowControl/>
                    <w:adjustRightInd w:val="0"/>
                    <w:snapToGrid w:val="0"/>
                    <w:jc w:val="center"/>
                    <w:rPr>
                      <w:color w:val="auto"/>
                      <w:szCs w:val="21"/>
                      <w:highlight w:val="none"/>
                    </w:rPr>
                  </w:pPr>
                </w:p>
              </w:tc>
            </w:tr>
            <w:tr w14:paraId="45841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dxa"/>
                  <w:noWrap w:val="0"/>
                  <w:vAlign w:val="center"/>
                </w:tcPr>
                <w:p w14:paraId="1E43B556">
                  <w:pPr>
                    <w:numPr>
                      <w:ilvl w:val="0"/>
                      <w:numId w:val="12"/>
                    </w:numPr>
                    <w:topLinePunct/>
                    <w:adjustRightInd w:val="0"/>
                    <w:snapToGrid w:val="0"/>
                    <w:jc w:val="center"/>
                    <w:rPr>
                      <w:rFonts w:hint="eastAsia"/>
                      <w:color w:val="auto"/>
                      <w:szCs w:val="21"/>
                      <w:highlight w:val="none"/>
                    </w:rPr>
                  </w:pPr>
                </w:p>
              </w:tc>
              <w:tc>
                <w:tcPr>
                  <w:tcW w:w="911" w:type="dxa"/>
                  <w:shd w:val="clear" w:color="auto" w:fill="auto"/>
                  <w:noWrap w:val="0"/>
                  <w:vAlign w:val="center"/>
                </w:tcPr>
                <w:p w14:paraId="0F8F49FB">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色粉包装袋</w:t>
                  </w:r>
                </w:p>
              </w:tc>
              <w:tc>
                <w:tcPr>
                  <w:tcW w:w="776" w:type="dxa"/>
                  <w:shd w:val="clear" w:color="auto" w:fill="auto"/>
                  <w:noWrap w:val="0"/>
                  <w:vAlign w:val="center"/>
                </w:tcPr>
                <w:p w14:paraId="36EDEF25">
                  <w:pPr>
                    <w:topLinePunct/>
                    <w:adjustRightInd w:val="0"/>
                    <w:snapToGrid w:val="0"/>
                    <w:jc w:val="center"/>
                    <w:rPr>
                      <w:rFonts w:hint="default" w:ascii="Times New Roman" w:hAnsi="Times New Roman" w:eastAsia="宋体" w:cs="Times New Roman"/>
                      <w:color w:val="auto"/>
                      <w:kern w:val="0"/>
                      <w:sz w:val="21"/>
                      <w:szCs w:val="21"/>
                      <w:lang w:val="en-US" w:eastAsia="zh-CN" w:bidi="ar-SA"/>
                    </w:rPr>
                  </w:pPr>
                  <w:r>
                    <w:rPr>
                      <w:color w:val="auto"/>
                      <w:kern w:val="0"/>
                      <w:szCs w:val="21"/>
                    </w:rPr>
                    <w:t>HW49</w:t>
                  </w:r>
                </w:p>
              </w:tc>
              <w:tc>
                <w:tcPr>
                  <w:tcW w:w="1253" w:type="dxa"/>
                  <w:shd w:val="clear" w:color="auto" w:fill="auto"/>
                  <w:noWrap w:val="0"/>
                  <w:vAlign w:val="center"/>
                </w:tcPr>
                <w:p w14:paraId="3980FEC2">
                  <w:pPr>
                    <w:topLinePunct/>
                    <w:adjustRightInd w:val="0"/>
                    <w:snapToGrid w:val="0"/>
                    <w:jc w:val="center"/>
                    <w:rPr>
                      <w:rFonts w:hint="default" w:ascii="Times New Roman" w:hAnsi="Times New Roman" w:eastAsia="宋体" w:cs="Times New Roman"/>
                      <w:color w:val="auto"/>
                      <w:kern w:val="0"/>
                      <w:sz w:val="21"/>
                      <w:szCs w:val="21"/>
                      <w:lang w:val="en-US" w:eastAsia="zh-CN" w:bidi="ar-SA"/>
                    </w:rPr>
                  </w:pPr>
                  <w:r>
                    <w:rPr>
                      <w:color w:val="auto"/>
                      <w:kern w:val="0"/>
                      <w:szCs w:val="21"/>
                    </w:rPr>
                    <w:t>900-041-49</w:t>
                  </w:r>
                </w:p>
              </w:tc>
              <w:tc>
                <w:tcPr>
                  <w:tcW w:w="893" w:type="dxa"/>
                  <w:shd w:val="clear" w:color="auto" w:fill="auto"/>
                  <w:noWrap w:val="0"/>
                  <w:vAlign w:val="center"/>
                </w:tcPr>
                <w:p w14:paraId="22C0C2CF">
                  <w:pPr>
                    <w:topLinePunct/>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eastAsia="宋体"/>
                      <w:color w:val="auto"/>
                      <w:kern w:val="0"/>
                      <w:szCs w:val="21"/>
                      <w:highlight w:val="none"/>
                      <w:lang w:val="en-US" w:eastAsia="zh-CN"/>
                    </w:rPr>
                    <w:t>0.002</w:t>
                  </w:r>
                </w:p>
              </w:tc>
              <w:tc>
                <w:tcPr>
                  <w:tcW w:w="675" w:type="dxa"/>
                  <w:vMerge w:val="continue"/>
                  <w:shd w:val="clear" w:color="auto" w:fill="auto"/>
                  <w:noWrap w:val="0"/>
                  <w:vAlign w:val="center"/>
                </w:tcPr>
                <w:p w14:paraId="52161652">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p>
              </w:tc>
              <w:tc>
                <w:tcPr>
                  <w:tcW w:w="468" w:type="dxa"/>
                  <w:shd w:val="clear" w:color="auto" w:fill="auto"/>
                  <w:noWrap w:val="0"/>
                  <w:vAlign w:val="center"/>
                </w:tcPr>
                <w:p w14:paraId="477905FD">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固</w:t>
                  </w:r>
                  <w:r>
                    <w:rPr>
                      <w:color w:val="auto"/>
                      <w:szCs w:val="21"/>
                      <w:highlight w:val="none"/>
                    </w:rPr>
                    <w:t>态</w:t>
                  </w:r>
                </w:p>
              </w:tc>
              <w:tc>
                <w:tcPr>
                  <w:tcW w:w="636" w:type="dxa"/>
                  <w:shd w:val="clear" w:color="auto" w:fill="auto"/>
                  <w:noWrap w:val="0"/>
                  <w:vAlign w:val="center"/>
                </w:tcPr>
                <w:p w14:paraId="3DFAE10A">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色粉</w:t>
                  </w:r>
                </w:p>
              </w:tc>
              <w:tc>
                <w:tcPr>
                  <w:tcW w:w="662" w:type="dxa"/>
                  <w:shd w:val="clear" w:color="auto" w:fill="auto"/>
                  <w:noWrap w:val="0"/>
                  <w:vAlign w:val="center"/>
                </w:tcPr>
                <w:p w14:paraId="372B11F0">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色粉</w:t>
                  </w:r>
                </w:p>
              </w:tc>
              <w:tc>
                <w:tcPr>
                  <w:tcW w:w="577" w:type="dxa"/>
                  <w:shd w:val="clear" w:color="auto" w:fill="auto"/>
                  <w:noWrap w:val="0"/>
                  <w:vAlign w:val="center"/>
                </w:tcPr>
                <w:p w14:paraId="4770644F">
                  <w:pPr>
                    <w:widowControl/>
                    <w:adjustRightInd w:val="0"/>
                    <w:snapToGrid w:val="0"/>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T，I</w:t>
                  </w:r>
                </w:p>
              </w:tc>
              <w:tc>
                <w:tcPr>
                  <w:tcW w:w="640" w:type="dxa"/>
                  <w:vMerge w:val="continue"/>
                  <w:noWrap w:val="0"/>
                  <w:vAlign w:val="center"/>
                </w:tcPr>
                <w:p w14:paraId="6E1C46F7">
                  <w:pPr>
                    <w:widowControl/>
                    <w:adjustRightInd w:val="0"/>
                    <w:snapToGrid w:val="0"/>
                    <w:jc w:val="center"/>
                    <w:rPr>
                      <w:rFonts w:hint="eastAsia"/>
                      <w:color w:val="auto"/>
                      <w:szCs w:val="21"/>
                      <w:highlight w:val="none"/>
                      <w:lang w:val="en-US" w:eastAsia="zh-CN"/>
                    </w:rPr>
                  </w:pPr>
                </w:p>
              </w:tc>
              <w:tc>
                <w:tcPr>
                  <w:tcW w:w="885" w:type="dxa"/>
                  <w:vMerge w:val="continue"/>
                  <w:noWrap w:val="0"/>
                  <w:vAlign w:val="center"/>
                </w:tcPr>
                <w:p w14:paraId="293D6F6A">
                  <w:pPr>
                    <w:widowControl/>
                    <w:adjustRightInd w:val="0"/>
                    <w:snapToGrid w:val="0"/>
                    <w:jc w:val="center"/>
                    <w:rPr>
                      <w:color w:val="auto"/>
                      <w:szCs w:val="21"/>
                      <w:highlight w:val="none"/>
                    </w:rPr>
                  </w:pPr>
                </w:p>
              </w:tc>
            </w:tr>
          </w:tbl>
          <w:p w14:paraId="62B5AC60">
            <w:pPr>
              <w:adjustRightInd w:val="0"/>
              <w:snapToGrid w:val="0"/>
              <w:rPr>
                <w:color w:val="auto"/>
                <w:highlight w:val="none"/>
              </w:rPr>
            </w:pPr>
            <w:r>
              <w:rPr>
                <w:color w:val="auto"/>
                <w:highlight w:val="none"/>
              </w:rPr>
              <w:t>注：危险特性包括腐蚀性（C）、毒性（T）、易燃性（I）、反应性（R）和感染性（In）。</w:t>
            </w:r>
          </w:p>
          <w:p w14:paraId="20B4734E">
            <w:pPr>
              <w:spacing w:line="360" w:lineRule="auto"/>
              <w:ind w:firstLine="480" w:firstLineChars="200"/>
              <w:rPr>
                <w:color w:val="auto"/>
                <w:sz w:val="24"/>
                <w:highlight w:val="none"/>
              </w:rPr>
            </w:pPr>
            <w:r>
              <w:rPr>
                <w:color w:val="auto"/>
                <w:sz w:val="24"/>
                <w:highlight w:val="none"/>
              </w:rPr>
              <w:t>②环境管理要求</w:t>
            </w:r>
          </w:p>
          <w:p w14:paraId="2B78C6DF">
            <w:pPr>
              <w:spacing w:line="360" w:lineRule="auto"/>
              <w:ind w:firstLine="480" w:firstLineChars="200"/>
              <w:rPr>
                <w:rFonts w:ascii="Times New Roman" w:hAnsi="Times New Roman" w:eastAsia="宋体" w:cs="Times New Roman"/>
                <w:color w:val="auto"/>
                <w:sz w:val="24"/>
                <w:highlight w:val="none"/>
              </w:rPr>
            </w:pPr>
            <w:r>
              <w:rPr>
                <w:color w:val="auto"/>
                <w:sz w:val="24"/>
                <w:highlight w:val="none"/>
              </w:rPr>
              <w:t>一般工业固废采取防扬散、防流失、防渗漏或者其他防止污染环境的措施；不得擅自倾倒、堆放、丢弃、遗撒固体废物，根据《广东省固体废物污染环境防治条例》，产生固体废物的单位和个人均有防治固体废物污染的责任，应当减少固体废物的产生，综合利用固体废物，防止固体废物污染环境。产生固体废物的单位和个人应当按有关规定分类贮存固体废物，自行处置或者交给有固体废物经营资格的单位集中处理。项目产生的一般工业固废放置在一般固体废物暂存处，交有一般工业固废处理能力的单位处理。</w:t>
            </w:r>
          </w:p>
          <w:p w14:paraId="2EAA8C3D">
            <w:pPr>
              <w:spacing w:line="360" w:lineRule="auto"/>
              <w:ind w:firstLine="480" w:firstLineChars="200"/>
              <w:rPr>
                <w:color w:val="auto"/>
                <w:sz w:val="24"/>
                <w:highlight w:val="none"/>
              </w:rPr>
            </w:pPr>
            <w:r>
              <w:rPr>
                <w:color w:val="auto"/>
                <w:sz w:val="24"/>
                <w:highlight w:val="none"/>
              </w:rPr>
              <w:t>危险废物暂存场应严格</w:t>
            </w:r>
            <w:r>
              <w:rPr>
                <w:rFonts w:hint="eastAsia"/>
                <w:color w:val="auto"/>
                <w:sz w:val="24"/>
                <w:highlight w:val="none"/>
                <w:lang w:eastAsia="zh-CN"/>
              </w:rPr>
              <w:t>按照</w:t>
            </w:r>
            <w:r>
              <w:rPr>
                <w:color w:val="auto"/>
                <w:sz w:val="24"/>
                <w:highlight w:val="none"/>
              </w:rPr>
              <w:t>《危险废物贮存污染控制标准》（</w:t>
            </w:r>
            <w:r>
              <w:rPr>
                <w:rFonts w:hint="eastAsia"/>
                <w:color w:val="auto"/>
                <w:sz w:val="24"/>
                <w:highlight w:val="none"/>
              </w:rPr>
              <w:t>GB18597—2023</w:t>
            </w:r>
            <w:r>
              <w:rPr>
                <w:color w:val="auto"/>
                <w:sz w:val="24"/>
                <w:highlight w:val="none"/>
              </w:rPr>
              <w:t>）及其修改清单标准要求进行设置及管理。</w:t>
            </w:r>
          </w:p>
          <w:p w14:paraId="1AD04CA6">
            <w:pPr>
              <w:spacing w:line="360" w:lineRule="auto"/>
              <w:ind w:firstLine="480" w:firstLineChars="200"/>
              <w:rPr>
                <w:color w:val="auto"/>
                <w:sz w:val="24"/>
                <w:highlight w:val="none"/>
              </w:rPr>
            </w:pPr>
            <w:r>
              <w:rPr>
                <w:color w:val="auto"/>
                <w:sz w:val="24"/>
                <w:highlight w:val="none"/>
              </w:rPr>
              <w:t>对于危险废物管理要求如下：</w:t>
            </w:r>
          </w:p>
          <w:p w14:paraId="1723CF46">
            <w:pPr>
              <w:numPr>
                <w:ilvl w:val="0"/>
                <w:numId w:val="13"/>
              </w:numPr>
              <w:spacing w:line="360" w:lineRule="auto"/>
              <w:ind w:firstLine="480" w:firstLineChars="200"/>
              <w:rPr>
                <w:color w:val="auto"/>
                <w:sz w:val="24"/>
                <w:highlight w:val="none"/>
              </w:rPr>
            </w:pPr>
            <w:r>
              <w:rPr>
                <w:color w:val="auto"/>
                <w:sz w:val="24"/>
                <w:highlight w:val="none"/>
              </w:rPr>
              <w:t>危险废物的容物和包装物一级收集、暂存、转移、处置危险废物的设施、场所，必须设置危险废物识别标志；</w:t>
            </w:r>
          </w:p>
          <w:p w14:paraId="39F6CC36">
            <w:pPr>
              <w:numPr>
                <w:ilvl w:val="0"/>
                <w:numId w:val="13"/>
              </w:numPr>
              <w:spacing w:line="360" w:lineRule="auto"/>
              <w:ind w:firstLine="480" w:firstLineChars="200"/>
              <w:rPr>
                <w:color w:val="auto"/>
                <w:sz w:val="24"/>
                <w:highlight w:val="none"/>
              </w:rPr>
            </w:pPr>
            <w:r>
              <w:rPr>
                <w:color w:val="auto"/>
                <w:sz w:val="24"/>
                <w:highlight w:val="none"/>
              </w:rPr>
              <w:t>禁止企业随意倾倒、堆置危险废物；</w:t>
            </w:r>
          </w:p>
          <w:p w14:paraId="7AAB6608">
            <w:pPr>
              <w:numPr>
                <w:ilvl w:val="0"/>
                <w:numId w:val="13"/>
              </w:numPr>
              <w:spacing w:line="360" w:lineRule="auto"/>
              <w:ind w:firstLine="480" w:firstLineChars="200"/>
              <w:rPr>
                <w:color w:val="auto"/>
                <w:sz w:val="24"/>
                <w:highlight w:val="none"/>
              </w:rPr>
            </w:pPr>
            <w:r>
              <w:rPr>
                <w:color w:val="auto"/>
                <w:sz w:val="24"/>
                <w:highlight w:val="none"/>
              </w:rPr>
              <w:t>禁止将危险废物混入非危险废物中收集、暂存、转移、处置，收集、贮存转移危险废物时，严格按照危险废物特性分类进行。放置混合收集、贮存、运输、转移性质不相容且</w:t>
            </w:r>
            <w:r>
              <w:rPr>
                <w:rFonts w:hint="eastAsia"/>
                <w:color w:val="auto"/>
                <w:sz w:val="24"/>
                <w:highlight w:val="none"/>
                <w:lang w:eastAsia="zh-CN"/>
              </w:rPr>
              <w:t>未经</w:t>
            </w:r>
            <w:r>
              <w:rPr>
                <w:color w:val="auto"/>
                <w:sz w:val="24"/>
                <w:highlight w:val="none"/>
              </w:rPr>
              <w:t>安全性处置的危险废物；</w:t>
            </w:r>
          </w:p>
          <w:p w14:paraId="3FF8FEC4">
            <w:pPr>
              <w:numPr>
                <w:ilvl w:val="0"/>
                <w:numId w:val="13"/>
              </w:numPr>
              <w:spacing w:line="360" w:lineRule="auto"/>
              <w:ind w:firstLine="480" w:firstLineChars="200"/>
              <w:rPr>
                <w:color w:val="auto"/>
                <w:sz w:val="24"/>
                <w:highlight w:val="none"/>
              </w:rPr>
            </w:pPr>
            <w:r>
              <w:rPr>
                <w:color w:val="auto"/>
                <w:sz w:val="24"/>
                <w:highlight w:val="none"/>
              </w:rPr>
              <w:t>按照相关规范要求做到防渗、防漏等措施。</w:t>
            </w:r>
          </w:p>
          <w:p w14:paraId="7170903E">
            <w:pPr>
              <w:spacing w:line="360" w:lineRule="auto"/>
              <w:ind w:firstLine="480" w:firstLineChars="200"/>
              <w:rPr>
                <w:color w:val="auto"/>
                <w:sz w:val="24"/>
                <w:highlight w:val="none"/>
              </w:rPr>
            </w:pPr>
            <w:r>
              <w:rPr>
                <w:color w:val="auto"/>
                <w:sz w:val="24"/>
                <w:highlight w:val="none"/>
              </w:rPr>
              <w:t>因此，采取上述处理措施后，无外排固体废物，对周围环境影响较小，符合环境保护局有关固体废物应实现零排放的规定，项目对周围环境影响不大。通过合理处理处置措施，项目产生的固体废物尽可能资源化，减少其对周围环境的影响。</w:t>
            </w:r>
          </w:p>
          <w:p w14:paraId="1D8C829D">
            <w:pPr>
              <w:pStyle w:val="95"/>
              <w:spacing w:before="120"/>
              <w:ind w:left="0"/>
              <w:rPr>
                <w:b/>
                <w:color w:val="auto"/>
                <w:kern w:val="2"/>
                <w:sz w:val="21"/>
                <w:szCs w:val="21"/>
                <w:highlight w:val="none"/>
              </w:rPr>
            </w:pPr>
            <w:r>
              <w:rPr>
                <w:b/>
                <w:color w:val="auto"/>
                <w:kern w:val="2"/>
                <w:sz w:val="21"/>
                <w:szCs w:val="21"/>
                <w:highlight w:val="none"/>
              </w:rPr>
              <w:t>建设项目危险废物贮存场所（设施）基本情况样表</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23"/>
              <w:gridCol w:w="1019"/>
              <w:gridCol w:w="1620"/>
              <w:gridCol w:w="789"/>
              <w:gridCol w:w="1327"/>
              <w:gridCol w:w="839"/>
              <w:gridCol w:w="675"/>
              <w:gridCol w:w="780"/>
              <w:gridCol w:w="675"/>
              <w:gridCol w:w="595"/>
            </w:tblGrid>
            <w:tr w14:paraId="61A42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3" w:type="dxa"/>
                  <w:shd w:val="clear" w:color="auto" w:fill="auto"/>
                  <w:vAlign w:val="center"/>
                </w:tcPr>
                <w:p w14:paraId="2D519E76">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序号</w:t>
                  </w:r>
                </w:p>
              </w:tc>
              <w:tc>
                <w:tcPr>
                  <w:tcW w:w="1019" w:type="dxa"/>
                  <w:shd w:val="clear" w:color="auto" w:fill="auto"/>
                  <w:vAlign w:val="center"/>
                </w:tcPr>
                <w:p w14:paraId="2DAA945D">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贮存场所（设施）名称</w:t>
                  </w:r>
                </w:p>
              </w:tc>
              <w:tc>
                <w:tcPr>
                  <w:tcW w:w="1620" w:type="dxa"/>
                  <w:shd w:val="clear" w:color="auto" w:fill="auto"/>
                  <w:vAlign w:val="center"/>
                </w:tcPr>
                <w:p w14:paraId="65DDB3B5">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危险废物名称</w:t>
                  </w:r>
                </w:p>
              </w:tc>
              <w:tc>
                <w:tcPr>
                  <w:tcW w:w="789" w:type="dxa"/>
                  <w:shd w:val="clear" w:color="auto" w:fill="auto"/>
                  <w:vAlign w:val="center"/>
                </w:tcPr>
                <w:p w14:paraId="47678AD2">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kern w:val="0"/>
                      <w:szCs w:val="22"/>
                      <w:highlight w:val="none"/>
                      <w:lang w:bidi="en-US"/>
                    </w:rPr>
                    <w:t>危险废物类别</w:t>
                  </w:r>
                </w:p>
              </w:tc>
              <w:tc>
                <w:tcPr>
                  <w:tcW w:w="1327" w:type="dxa"/>
                  <w:shd w:val="clear" w:color="auto" w:fill="auto"/>
                  <w:vAlign w:val="center"/>
                </w:tcPr>
                <w:p w14:paraId="0A78EEB0">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危险废物代码</w:t>
                  </w:r>
                </w:p>
              </w:tc>
              <w:tc>
                <w:tcPr>
                  <w:tcW w:w="839" w:type="dxa"/>
                  <w:shd w:val="clear" w:color="auto" w:fill="auto"/>
                  <w:vAlign w:val="center"/>
                </w:tcPr>
                <w:p w14:paraId="4FF40338">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位置</w:t>
                  </w:r>
                </w:p>
              </w:tc>
              <w:tc>
                <w:tcPr>
                  <w:tcW w:w="675" w:type="dxa"/>
                  <w:shd w:val="clear" w:color="auto" w:fill="auto"/>
                  <w:vAlign w:val="center"/>
                </w:tcPr>
                <w:p w14:paraId="07F2DFA9">
                  <w:pPr>
                    <w:pStyle w:val="89"/>
                    <w:jc w:val="center"/>
                    <w:rPr>
                      <w:rFonts w:ascii="Times New Roman" w:hAnsi="Times New Roman" w:cs="Times New Roman"/>
                      <w:b/>
                      <w:color w:val="auto"/>
                      <w:kern w:val="0"/>
                      <w:szCs w:val="22"/>
                      <w:highlight w:val="none"/>
                      <w:lang w:bidi="en-US"/>
                    </w:rPr>
                  </w:pPr>
                  <w:r>
                    <w:rPr>
                      <w:rFonts w:hint="eastAsia" w:ascii="Times New Roman" w:hAnsi="Times New Roman" w:cs="Times New Roman"/>
                      <w:b/>
                      <w:color w:val="auto"/>
                      <w:highlight w:val="none"/>
                    </w:rPr>
                    <w:t>用地</w:t>
                  </w:r>
                  <w:r>
                    <w:rPr>
                      <w:rFonts w:ascii="Times New Roman" w:hAnsi="Times New Roman" w:cs="Times New Roman"/>
                      <w:b/>
                      <w:color w:val="auto"/>
                      <w:highlight w:val="none"/>
                    </w:rPr>
                    <w:t>面积</w:t>
                  </w:r>
                </w:p>
              </w:tc>
              <w:tc>
                <w:tcPr>
                  <w:tcW w:w="780" w:type="dxa"/>
                  <w:shd w:val="clear" w:color="auto" w:fill="auto"/>
                  <w:vAlign w:val="center"/>
                </w:tcPr>
                <w:p w14:paraId="08611755">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贮存方式</w:t>
                  </w:r>
                </w:p>
              </w:tc>
              <w:tc>
                <w:tcPr>
                  <w:tcW w:w="675" w:type="dxa"/>
                  <w:shd w:val="clear" w:color="auto" w:fill="auto"/>
                  <w:vAlign w:val="center"/>
                </w:tcPr>
                <w:p w14:paraId="03FB9035">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贮存能力</w:t>
                  </w:r>
                </w:p>
              </w:tc>
              <w:tc>
                <w:tcPr>
                  <w:tcW w:w="595" w:type="dxa"/>
                  <w:shd w:val="clear" w:color="auto" w:fill="auto"/>
                  <w:vAlign w:val="center"/>
                </w:tcPr>
                <w:p w14:paraId="642FAD88">
                  <w:pPr>
                    <w:pStyle w:val="89"/>
                    <w:jc w:val="center"/>
                    <w:rPr>
                      <w:rFonts w:ascii="Times New Roman" w:hAnsi="Times New Roman" w:cs="Times New Roman"/>
                      <w:b/>
                      <w:color w:val="auto"/>
                      <w:kern w:val="0"/>
                      <w:szCs w:val="22"/>
                      <w:highlight w:val="none"/>
                      <w:lang w:bidi="en-US"/>
                    </w:rPr>
                  </w:pPr>
                  <w:r>
                    <w:rPr>
                      <w:rFonts w:ascii="Times New Roman" w:hAnsi="Times New Roman" w:cs="Times New Roman"/>
                      <w:b/>
                      <w:color w:val="auto"/>
                      <w:highlight w:val="none"/>
                    </w:rPr>
                    <w:t>贮存周期</w:t>
                  </w:r>
                </w:p>
              </w:tc>
            </w:tr>
            <w:tr w14:paraId="4947E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3" w:type="dxa"/>
                  <w:shd w:val="clear" w:color="auto" w:fill="auto"/>
                  <w:vAlign w:val="center"/>
                </w:tcPr>
                <w:p w14:paraId="78967918">
                  <w:pPr>
                    <w:numPr>
                      <w:ilvl w:val="0"/>
                      <w:numId w:val="14"/>
                    </w:numPr>
                    <w:topLinePunct/>
                    <w:adjustRightInd w:val="0"/>
                    <w:snapToGrid w:val="0"/>
                    <w:jc w:val="center"/>
                    <w:rPr>
                      <w:rFonts w:hint="eastAsia"/>
                      <w:color w:val="auto"/>
                      <w:szCs w:val="21"/>
                      <w:highlight w:val="none"/>
                    </w:rPr>
                  </w:pPr>
                </w:p>
              </w:tc>
              <w:tc>
                <w:tcPr>
                  <w:tcW w:w="1019" w:type="dxa"/>
                  <w:vMerge w:val="restart"/>
                  <w:shd w:val="clear" w:color="auto" w:fill="auto"/>
                  <w:vAlign w:val="center"/>
                </w:tcPr>
                <w:p w14:paraId="3E4140CE">
                  <w:pPr>
                    <w:pStyle w:val="95"/>
                    <w:numPr>
                      <w:ilvl w:val="0"/>
                      <w:numId w:val="0"/>
                    </w:numPr>
                    <w:spacing w:before="0"/>
                    <w:rPr>
                      <w:color w:val="auto"/>
                      <w:sz w:val="21"/>
                      <w:szCs w:val="22"/>
                      <w:highlight w:val="none"/>
                      <w:lang w:bidi="en-US"/>
                    </w:rPr>
                  </w:pPr>
                  <w:r>
                    <w:rPr>
                      <w:color w:val="auto"/>
                      <w:sz w:val="21"/>
                      <w:szCs w:val="22"/>
                      <w:highlight w:val="none"/>
                      <w:lang w:bidi="en-US"/>
                    </w:rPr>
                    <w:t>危险废物间</w:t>
                  </w:r>
                </w:p>
              </w:tc>
              <w:tc>
                <w:tcPr>
                  <w:tcW w:w="1620" w:type="dxa"/>
                  <w:shd w:val="clear" w:color="auto" w:fill="auto"/>
                  <w:vAlign w:val="center"/>
                </w:tcPr>
                <w:p w14:paraId="49B84C72">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饱和活性炭</w:t>
                  </w:r>
                </w:p>
              </w:tc>
              <w:tc>
                <w:tcPr>
                  <w:tcW w:w="789" w:type="dxa"/>
                  <w:shd w:val="clear" w:color="auto" w:fill="auto"/>
                  <w:vAlign w:val="center"/>
                </w:tcPr>
                <w:p w14:paraId="7323BB3C">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HW49</w:t>
                  </w:r>
                </w:p>
              </w:tc>
              <w:tc>
                <w:tcPr>
                  <w:tcW w:w="1327" w:type="dxa"/>
                  <w:shd w:val="clear" w:color="auto" w:fill="auto"/>
                  <w:vAlign w:val="center"/>
                </w:tcPr>
                <w:p w14:paraId="282F2DC9">
                  <w:pPr>
                    <w:widowControl/>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900-0</w:t>
                  </w:r>
                  <w:r>
                    <w:rPr>
                      <w:rFonts w:hint="eastAsia"/>
                      <w:color w:val="auto"/>
                      <w:szCs w:val="21"/>
                      <w:highlight w:val="none"/>
                    </w:rPr>
                    <w:t>39</w:t>
                  </w:r>
                  <w:r>
                    <w:rPr>
                      <w:color w:val="auto"/>
                      <w:szCs w:val="21"/>
                      <w:highlight w:val="none"/>
                    </w:rPr>
                    <w:t>-49</w:t>
                  </w:r>
                </w:p>
              </w:tc>
              <w:tc>
                <w:tcPr>
                  <w:tcW w:w="839" w:type="dxa"/>
                  <w:vMerge w:val="restart"/>
                  <w:shd w:val="clear" w:color="auto" w:fill="auto"/>
                  <w:vAlign w:val="center"/>
                </w:tcPr>
                <w:p w14:paraId="0A0E69BB">
                  <w:pPr>
                    <w:pStyle w:val="95"/>
                    <w:numPr>
                      <w:ilvl w:val="0"/>
                      <w:numId w:val="0"/>
                    </w:numPr>
                    <w:spacing w:before="0"/>
                    <w:ind w:left="0" w:leftChars="0" w:firstLine="0" w:firstLineChars="0"/>
                    <w:rPr>
                      <w:rFonts w:hint="eastAsia" w:eastAsia="宋体"/>
                      <w:color w:val="auto"/>
                      <w:szCs w:val="21"/>
                      <w:highlight w:val="none"/>
                      <w:lang w:val="en-US" w:eastAsia="zh-CN"/>
                    </w:rPr>
                  </w:pPr>
                  <w:r>
                    <w:rPr>
                      <w:b w:val="0"/>
                      <w:bCs/>
                      <w:color w:val="auto"/>
                      <w:sz w:val="21"/>
                      <w:szCs w:val="22"/>
                      <w:highlight w:val="none"/>
                      <w:lang w:bidi="en-US"/>
                    </w:rPr>
                    <w:t>车间内</w:t>
                  </w:r>
                </w:p>
              </w:tc>
              <w:tc>
                <w:tcPr>
                  <w:tcW w:w="675" w:type="dxa"/>
                  <w:vMerge w:val="restart"/>
                  <w:shd w:val="clear" w:color="auto" w:fill="auto"/>
                  <w:vAlign w:val="center"/>
                </w:tcPr>
                <w:p w14:paraId="23D0FD73">
                  <w:pPr>
                    <w:pStyle w:val="95"/>
                    <w:numPr>
                      <w:ilvl w:val="0"/>
                      <w:numId w:val="0"/>
                    </w:numPr>
                    <w:spacing w:before="0"/>
                    <w:ind w:left="0" w:leftChars="0" w:firstLine="0" w:firstLineChars="0"/>
                    <w:rPr>
                      <w:rFonts w:hint="eastAsia" w:eastAsia="宋体"/>
                      <w:color w:val="auto"/>
                      <w:szCs w:val="21"/>
                      <w:highlight w:val="none"/>
                      <w:lang w:eastAsia="zh-CN"/>
                    </w:rPr>
                  </w:pPr>
                  <w:r>
                    <w:rPr>
                      <w:rFonts w:hint="eastAsia"/>
                      <w:b w:val="0"/>
                      <w:bCs/>
                      <w:color w:val="auto"/>
                      <w:sz w:val="21"/>
                      <w:szCs w:val="22"/>
                      <w:highlight w:val="none"/>
                      <w:lang w:val="en-US" w:eastAsia="zh-CN" w:bidi="en-US"/>
                    </w:rPr>
                    <w:t>5</w:t>
                  </w:r>
                  <w:r>
                    <w:rPr>
                      <w:b w:val="0"/>
                      <w:bCs/>
                      <w:color w:val="auto"/>
                      <w:sz w:val="21"/>
                      <w:szCs w:val="22"/>
                      <w:highlight w:val="none"/>
                      <w:lang w:bidi="en-US"/>
                    </w:rPr>
                    <w:t>m</w:t>
                  </w:r>
                  <w:r>
                    <w:rPr>
                      <w:b w:val="0"/>
                      <w:bCs/>
                      <w:color w:val="auto"/>
                      <w:sz w:val="21"/>
                      <w:szCs w:val="22"/>
                      <w:highlight w:val="none"/>
                      <w:vertAlign w:val="superscript"/>
                      <w:lang w:bidi="en-US"/>
                    </w:rPr>
                    <w:t>2</w:t>
                  </w:r>
                </w:p>
              </w:tc>
              <w:tc>
                <w:tcPr>
                  <w:tcW w:w="780" w:type="dxa"/>
                  <w:shd w:val="clear" w:color="auto" w:fill="auto"/>
                  <w:vAlign w:val="center"/>
                </w:tcPr>
                <w:p w14:paraId="27919C2A">
                  <w:pPr>
                    <w:contextualSpacing/>
                    <w:jc w:val="center"/>
                    <w:rPr>
                      <w:rFonts w:hint="default" w:ascii="Times New Roman" w:hAnsi="Times New Roman" w:eastAsia="宋体" w:cs="Times New Roman"/>
                      <w:color w:val="auto"/>
                      <w:kern w:val="0"/>
                      <w:sz w:val="21"/>
                      <w:szCs w:val="22"/>
                      <w:highlight w:val="none"/>
                      <w:lang w:val="en-US" w:eastAsia="zh-CN" w:bidi="en-US"/>
                    </w:rPr>
                  </w:pPr>
                  <w:r>
                    <w:rPr>
                      <w:rFonts w:hint="eastAsia" w:eastAsia="宋体"/>
                      <w:color w:val="auto"/>
                      <w:kern w:val="0"/>
                      <w:szCs w:val="22"/>
                      <w:highlight w:val="none"/>
                      <w:lang w:val="en-US" w:eastAsia="zh-CN" w:bidi="en-US"/>
                    </w:rPr>
                    <w:t>袋装</w:t>
                  </w:r>
                </w:p>
              </w:tc>
              <w:tc>
                <w:tcPr>
                  <w:tcW w:w="675" w:type="dxa"/>
                  <w:vMerge w:val="restart"/>
                  <w:shd w:val="clear" w:color="auto" w:fill="auto"/>
                  <w:vAlign w:val="center"/>
                </w:tcPr>
                <w:p w14:paraId="755E128C">
                  <w:pPr>
                    <w:pStyle w:val="95"/>
                    <w:numPr>
                      <w:ilvl w:val="0"/>
                      <w:numId w:val="0"/>
                    </w:numPr>
                    <w:spacing w:before="0"/>
                    <w:ind w:left="0" w:leftChars="0" w:firstLine="0" w:firstLineChars="0"/>
                    <w:rPr>
                      <w:rFonts w:hint="eastAsia" w:eastAsia="宋体"/>
                      <w:color w:val="auto"/>
                      <w:szCs w:val="21"/>
                      <w:highlight w:val="none"/>
                      <w:lang w:val="en-US" w:eastAsia="zh-CN"/>
                    </w:rPr>
                  </w:pPr>
                  <w:r>
                    <w:rPr>
                      <w:rFonts w:hint="eastAsia"/>
                      <w:b w:val="0"/>
                      <w:bCs/>
                      <w:color w:val="auto"/>
                      <w:sz w:val="21"/>
                      <w:szCs w:val="22"/>
                      <w:highlight w:val="none"/>
                      <w:lang w:val="en-US" w:eastAsia="zh-CN" w:bidi="en-US"/>
                    </w:rPr>
                    <w:t>5</w:t>
                  </w:r>
                  <w:r>
                    <w:rPr>
                      <w:b w:val="0"/>
                      <w:bCs/>
                      <w:color w:val="auto"/>
                      <w:sz w:val="21"/>
                      <w:szCs w:val="22"/>
                      <w:highlight w:val="none"/>
                      <w:lang w:bidi="en-US"/>
                    </w:rPr>
                    <w:t>吨</w:t>
                  </w:r>
                </w:p>
              </w:tc>
              <w:tc>
                <w:tcPr>
                  <w:tcW w:w="595" w:type="dxa"/>
                  <w:vMerge w:val="restart"/>
                  <w:shd w:val="clear" w:color="auto" w:fill="auto"/>
                  <w:vAlign w:val="center"/>
                </w:tcPr>
                <w:p w14:paraId="22215140">
                  <w:pPr>
                    <w:contextualSpacing/>
                    <w:jc w:val="center"/>
                    <w:rPr>
                      <w:rFonts w:hint="default" w:eastAsia="宋体"/>
                      <w:bCs/>
                      <w:color w:val="auto"/>
                      <w:kern w:val="2"/>
                      <w:sz w:val="21"/>
                      <w:szCs w:val="24"/>
                      <w:highlight w:val="none"/>
                      <w:lang w:val="en-US" w:eastAsia="zh-CN" w:bidi="ar-SA"/>
                    </w:rPr>
                  </w:pPr>
                  <w:r>
                    <w:rPr>
                      <w:rFonts w:hint="eastAsia"/>
                      <w:bCs/>
                      <w:color w:val="auto"/>
                      <w:highlight w:val="none"/>
                      <w:lang w:val="en-US" w:eastAsia="zh-CN"/>
                    </w:rPr>
                    <w:t>3个月</w:t>
                  </w:r>
                </w:p>
              </w:tc>
            </w:tr>
            <w:tr w14:paraId="42C4F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3" w:type="dxa"/>
                  <w:shd w:val="clear" w:color="auto" w:fill="auto"/>
                  <w:vAlign w:val="center"/>
                </w:tcPr>
                <w:p w14:paraId="076245A6">
                  <w:pPr>
                    <w:numPr>
                      <w:ilvl w:val="0"/>
                      <w:numId w:val="14"/>
                    </w:numPr>
                    <w:topLinePunct/>
                    <w:adjustRightInd w:val="0"/>
                    <w:snapToGrid w:val="0"/>
                    <w:jc w:val="center"/>
                    <w:rPr>
                      <w:rFonts w:hint="eastAsia"/>
                      <w:color w:val="auto"/>
                      <w:szCs w:val="21"/>
                      <w:highlight w:val="none"/>
                    </w:rPr>
                  </w:pPr>
                </w:p>
              </w:tc>
              <w:tc>
                <w:tcPr>
                  <w:tcW w:w="1019" w:type="dxa"/>
                  <w:vMerge w:val="continue"/>
                  <w:shd w:val="clear" w:color="auto" w:fill="auto"/>
                  <w:vAlign w:val="center"/>
                </w:tcPr>
                <w:p w14:paraId="7C2197C7">
                  <w:pPr>
                    <w:pStyle w:val="95"/>
                    <w:numPr>
                      <w:ilvl w:val="0"/>
                      <w:numId w:val="0"/>
                    </w:numPr>
                    <w:spacing w:before="0"/>
                    <w:rPr>
                      <w:color w:val="auto"/>
                      <w:sz w:val="21"/>
                      <w:szCs w:val="22"/>
                      <w:highlight w:val="none"/>
                      <w:lang w:bidi="en-US"/>
                    </w:rPr>
                  </w:pPr>
                </w:p>
              </w:tc>
              <w:tc>
                <w:tcPr>
                  <w:tcW w:w="1620" w:type="dxa"/>
                  <w:shd w:val="clear" w:color="auto" w:fill="auto"/>
                  <w:vAlign w:val="center"/>
                </w:tcPr>
                <w:p w14:paraId="13F1661E">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废弃包装桶（环氧树脂AB胶、机油）</w:t>
                  </w:r>
                </w:p>
              </w:tc>
              <w:tc>
                <w:tcPr>
                  <w:tcW w:w="789" w:type="dxa"/>
                  <w:shd w:val="clear" w:color="auto" w:fill="auto"/>
                  <w:vAlign w:val="center"/>
                </w:tcPr>
                <w:p w14:paraId="40922A6A">
                  <w:pPr>
                    <w:widowControl/>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HW49</w:t>
                  </w:r>
                </w:p>
              </w:tc>
              <w:tc>
                <w:tcPr>
                  <w:tcW w:w="1327" w:type="dxa"/>
                  <w:shd w:val="clear" w:color="auto" w:fill="auto"/>
                  <w:vAlign w:val="center"/>
                </w:tcPr>
                <w:p w14:paraId="462A2036">
                  <w:pPr>
                    <w:widowControl/>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900-041-49</w:t>
                  </w:r>
                </w:p>
              </w:tc>
              <w:tc>
                <w:tcPr>
                  <w:tcW w:w="839" w:type="dxa"/>
                  <w:vMerge w:val="continue"/>
                  <w:shd w:val="clear" w:color="auto" w:fill="auto"/>
                  <w:vAlign w:val="center"/>
                </w:tcPr>
                <w:p w14:paraId="0421EE3F">
                  <w:pPr>
                    <w:widowControl/>
                    <w:adjustRightInd w:val="0"/>
                    <w:snapToGrid w:val="0"/>
                    <w:jc w:val="center"/>
                    <w:rPr>
                      <w:color w:val="auto"/>
                      <w:szCs w:val="21"/>
                      <w:highlight w:val="none"/>
                    </w:rPr>
                  </w:pPr>
                </w:p>
              </w:tc>
              <w:tc>
                <w:tcPr>
                  <w:tcW w:w="675" w:type="dxa"/>
                  <w:vMerge w:val="continue"/>
                  <w:shd w:val="clear" w:color="auto" w:fill="auto"/>
                  <w:vAlign w:val="center"/>
                </w:tcPr>
                <w:p w14:paraId="6A1958FE">
                  <w:pPr>
                    <w:widowControl/>
                    <w:adjustRightInd w:val="0"/>
                    <w:snapToGrid w:val="0"/>
                    <w:jc w:val="center"/>
                    <w:rPr>
                      <w:rFonts w:hint="eastAsia"/>
                      <w:color w:val="auto"/>
                      <w:szCs w:val="21"/>
                      <w:highlight w:val="none"/>
                    </w:rPr>
                  </w:pPr>
                </w:p>
              </w:tc>
              <w:tc>
                <w:tcPr>
                  <w:tcW w:w="780" w:type="dxa"/>
                  <w:shd w:val="clear" w:color="auto" w:fill="auto"/>
                  <w:vAlign w:val="center"/>
                </w:tcPr>
                <w:p w14:paraId="4222DCEA">
                  <w:pPr>
                    <w:contextualSpacing/>
                    <w:jc w:val="center"/>
                    <w:rPr>
                      <w:rFonts w:hint="default" w:ascii="Times New Roman" w:hAnsi="Times New Roman" w:eastAsia="宋体" w:cs="Times New Roman"/>
                      <w:color w:val="auto"/>
                      <w:kern w:val="0"/>
                      <w:sz w:val="21"/>
                      <w:szCs w:val="22"/>
                      <w:highlight w:val="none"/>
                      <w:lang w:val="en-US" w:eastAsia="zh-CN" w:bidi="en-US"/>
                    </w:rPr>
                  </w:pPr>
                  <w:r>
                    <w:rPr>
                      <w:rFonts w:hint="eastAsia" w:cs="Times New Roman"/>
                      <w:color w:val="auto"/>
                      <w:kern w:val="0"/>
                      <w:sz w:val="21"/>
                      <w:szCs w:val="22"/>
                      <w:highlight w:val="none"/>
                      <w:lang w:val="en-US" w:eastAsia="zh-CN" w:bidi="en-US"/>
                    </w:rPr>
                    <w:t>堆叠</w:t>
                  </w:r>
                </w:p>
              </w:tc>
              <w:tc>
                <w:tcPr>
                  <w:tcW w:w="675" w:type="dxa"/>
                  <w:vMerge w:val="continue"/>
                  <w:shd w:val="clear" w:color="auto" w:fill="auto"/>
                  <w:vAlign w:val="center"/>
                </w:tcPr>
                <w:p w14:paraId="29438E68">
                  <w:pPr>
                    <w:topLinePunct/>
                    <w:adjustRightInd w:val="0"/>
                    <w:snapToGrid w:val="0"/>
                    <w:jc w:val="center"/>
                    <w:rPr>
                      <w:color w:val="auto"/>
                      <w:kern w:val="0"/>
                      <w:szCs w:val="21"/>
                      <w:highlight w:val="none"/>
                    </w:rPr>
                  </w:pPr>
                </w:p>
              </w:tc>
              <w:tc>
                <w:tcPr>
                  <w:tcW w:w="595" w:type="dxa"/>
                  <w:vMerge w:val="continue"/>
                  <w:shd w:val="clear" w:color="auto" w:fill="auto"/>
                  <w:vAlign w:val="center"/>
                </w:tcPr>
                <w:p w14:paraId="0A3CDE79">
                  <w:pPr>
                    <w:contextualSpacing/>
                    <w:jc w:val="center"/>
                    <w:rPr>
                      <w:bCs/>
                      <w:color w:val="auto"/>
                      <w:kern w:val="2"/>
                      <w:sz w:val="21"/>
                      <w:szCs w:val="24"/>
                      <w:highlight w:val="none"/>
                      <w:lang w:val="en-US" w:eastAsia="zh-CN" w:bidi="ar-SA"/>
                    </w:rPr>
                  </w:pPr>
                </w:p>
              </w:tc>
            </w:tr>
            <w:tr w14:paraId="7A416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23" w:type="dxa"/>
                  <w:shd w:val="clear" w:color="auto" w:fill="auto"/>
                  <w:vAlign w:val="center"/>
                </w:tcPr>
                <w:p w14:paraId="4B7DDC22">
                  <w:pPr>
                    <w:numPr>
                      <w:ilvl w:val="0"/>
                      <w:numId w:val="14"/>
                    </w:numPr>
                    <w:topLinePunct/>
                    <w:adjustRightInd w:val="0"/>
                    <w:snapToGrid w:val="0"/>
                    <w:jc w:val="center"/>
                    <w:rPr>
                      <w:rFonts w:hint="eastAsia"/>
                      <w:color w:val="auto"/>
                      <w:szCs w:val="21"/>
                      <w:highlight w:val="none"/>
                    </w:rPr>
                  </w:pPr>
                </w:p>
              </w:tc>
              <w:tc>
                <w:tcPr>
                  <w:tcW w:w="1019" w:type="dxa"/>
                  <w:vMerge w:val="continue"/>
                  <w:shd w:val="clear" w:color="auto" w:fill="auto"/>
                  <w:vAlign w:val="center"/>
                </w:tcPr>
                <w:p w14:paraId="4A46C311">
                  <w:pPr>
                    <w:pStyle w:val="95"/>
                    <w:numPr>
                      <w:ilvl w:val="0"/>
                      <w:numId w:val="0"/>
                    </w:numPr>
                    <w:spacing w:before="0"/>
                    <w:rPr>
                      <w:color w:val="auto"/>
                      <w:sz w:val="21"/>
                      <w:szCs w:val="22"/>
                      <w:highlight w:val="none"/>
                      <w:lang w:bidi="en-US"/>
                    </w:rPr>
                  </w:pPr>
                </w:p>
              </w:tc>
              <w:tc>
                <w:tcPr>
                  <w:tcW w:w="1620" w:type="dxa"/>
                  <w:shd w:val="clear" w:color="auto" w:fill="auto"/>
                  <w:vAlign w:val="center"/>
                </w:tcPr>
                <w:p w14:paraId="03C0B9EF">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废</w:t>
                  </w:r>
                  <w:r>
                    <w:rPr>
                      <w:rFonts w:hint="eastAsia"/>
                      <w:color w:val="auto"/>
                      <w:szCs w:val="21"/>
                      <w:highlight w:val="none"/>
                    </w:rPr>
                    <w:t>机油</w:t>
                  </w:r>
                </w:p>
              </w:tc>
              <w:tc>
                <w:tcPr>
                  <w:tcW w:w="789" w:type="dxa"/>
                  <w:shd w:val="clear" w:color="auto" w:fill="auto"/>
                  <w:vAlign w:val="center"/>
                </w:tcPr>
                <w:p w14:paraId="5888836E">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HW0</w:t>
                  </w:r>
                  <w:r>
                    <w:rPr>
                      <w:rFonts w:hint="eastAsia"/>
                      <w:color w:val="auto"/>
                      <w:szCs w:val="21"/>
                      <w:highlight w:val="none"/>
                      <w:lang w:val="en-US" w:eastAsia="zh-CN"/>
                    </w:rPr>
                    <w:t>8</w:t>
                  </w:r>
                </w:p>
              </w:tc>
              <w:tc>
                <w:tcPr>
                  <w:tcW w:w="1327" w:type="dxa"/>
                  <w:shd w:val="clear" w:color="auto" w:fill="auto"/>
                  <w:vAlign w:val="center"/>
                </w:tcPr>
                <w:p w14:paraId="69DC6363">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900-249-08</w:t>
                  </w:r>
                </w:p>
              </w:tc>
              <w:tc>
                <w:tcPr>
                  <w:tcW w:w="839" w:type="dxa"/>
                  <w:vMerge w:val="continue"/>
                  <w:shd w:val="clear" w:color="auto" w:fill="auto"/>
                  <w:vAlign w:val="center"/>
                </w:tcPr>
                <w:p w14:paraId="133D10BF">
                  <w:pPr>
                    <w:pStyle w:val="95"/>
                    <w:numPr>
                      <w:ilvl w:val="0"/>
                      <w:numId w:val="0"/>
                    </w:numPr>
                    <w:spacing w:before="0"/>
                    <w:ind w:left="0" w:leftChars="0" w:firstLine="0" w:firstLineChars="0"/>
                    <w:rPr>
                      <w:rFonts w:ascii="Times New Roman" w:hAnsi="Times New Roman" w:eastAsia="宋体" w:cs="Times New Roman"/>
                      <w:b w:val="0"/>
                      <w:color w:val="auto"/>
                      <w:kern w:val="0"/>
                      <w:sz w:val="21"/>
                      <w:szCs w:val="22"/>
                      <w:highlight w:val="none"/>
                      <w:lang w:val="en-US" w:eastAsia="zh-CN" w:bidi="en-US"/>
                    </w:rPr>
                  </w:pPr>
                </w:p>
              </w:tc>
              <w:tc>
                <w:tcPr>
                  <w:tcW w:w="675" w:type="dxa"/>
                  <w:vMerge w:val="continue"/>
                  <w:shd w:val="clear" w:color="auto" w:fill="auto"/>
                  <w:vAlign w:val="center"/>
                </w:tcPr>
                <w:p w14:paraId="4A10A243">
                  <w:pPr>
                    <w:pStyle w:val="95"/>
                    <w:numPr>
                      <w:ilvl w:val="0"/>
                      <w:numId w:val="0"/>
                    </w:numPr>
                    <w:spacing w:before="0"/>
                    <w:ind w:left="0" w:leftChars="0" w:firstLine="0" w:firstLineChars="0"/>
                    <w:rPr>
                      <w:rFonts w:hint="eastAsia" w:ascii="Times New Roman" w:hAnsi="Times New Roman" w:eastAsia="宋体" w:cs="Times New Roman"/>
                      <w:b w:val="0"/>
                      <w:color w:val="auto"/>
                      <w:kern w:val="0"/>
                      <w:sz w:val="21"/>
                      <w:szCs w:val="22"/>
                      <w:highlight w:val="none"/>
                      <w:lang w:val="en-US" w:eastAsia="zh-CN" w:bidi="en-US"/>
                    </w:rPr>
                  </w:pPr>
                </w:p>
              </w:tc>
              <w:tc>
                <w:tcPr>
                  <w:tcW w:w="780" w:type="dxa"/>
                  <w:shd w:val="clear" w:color="auto" w:fill="auto"/>
                  <w:vAlign w:val="center"/>
                </w:tcPr>
                <w:p w14:paraId="0266C45E">
                  <w:pPr>
                    <w:contextualSpacing/>
                    <w:jc w:val="center"/>
                    <w:rPr>
                      <w:rFonts w:hint="eastAsia" w:ascii="Times New Roman" w:hAnsi="Times New Roman" w:eastAsia="宋体" w:cs="Times New Roman"/>
                      <w:color w:val="auto"/>
                      <w:kern w:val="0"/>
                      <w:sz w:val="21"/>
                      <w:szCs w:val="22"/>
                      <w:highlight w:val="none"/>
                      <w:lang w:val="en-US" w:eastAsia="zh-CN" w:bidi="en-US"/>
                    </w:rPr>
                  </w:pPr>
                  <w:r>
                    <w:rPr>
                      <w:rFonts w:hint="eastAsia" w:eastAsia="宋体"/>
                      <w:color w:val="auto"/>
                      <w:kern w:val="0"/>
                      <w:szCs w:val="22"/>
                      <w:highlight w:val="none"/>
                      <w:lang w:val="en-US" w:eastAsia="zh-CN" w:bidi="en-US"/>
                    </w:rPr>
                    <w:t>桶装</w:t>
                  </w:r>
                </w:p>
              </w:tc>
              <w:tc>
                <w:tcPr>
                  <w:tcW w:w="675" w:type="dxa"/>
                  <w:vMerge w:val="continue"/>
                  <w:shd w:val="clear" w:color="auto" w:fill="auto"/>
                  <w:vAlign w:val="center"/>
                </w:tcPr>
                <w:p w14:paraId="6562FDB7">
                  <w:pPr>
                    <w:topLinePunct/>
                    <w:adjustRightInd w:val="0"/>
                    <w:snapToGrid w:val="0"/>
                    <w:jc w:val="center"/>
                    <w:rPr>
                      <w:color w:val="auto"/>
                      <w:kern w:val="0"/>
                      <w:szCs w:val="21"/>
                      <w:highlight w:val="none"/>
                    </w:rPr>
                  </w:pPr>
                </w:p>
              </w:tc>
              <w:tc>
                <w:tcPr>
                  <w:tcW w:w="595" w:type="dxa"/>
                  <w:vMerge w:val="continue"/>
                  <w:shd w:val="clear" w:color="auto" w:fill="auto"/>
                  <w:vAlign w:val="center"/>
                </w:tcPr>
                <w:p w14:paraId="2BB2CA73">
                  <w:pPr>
                    <w:contextualSpacing/>
                    <w:jc w:val="center"/>
                    <w:rPr>
                      <w:bCs/>
                      <w:color w:val="auto"/>
                      <w:kern w:val="2"/>
                      <w:sz w:val="21"/>
                      <w:szCs w:val="24"/>
                      <w:highlight w:val="none"/>
                      <w:lang w:val="en-US" w:eastAsia="zh-CN" w:bidi="ar-SA"/>
                    </w:rPr>
                  </w:pPr>
                </w:p>
              </w:tc>
            </w:tr>
            <w:tr w14:paraId="250B4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3" w:type="dxa"/>
                  <w:shd w:val="clear" w:color="auto" w:fill="auto"/>
                  <w:vAlign w:val="center"/>
                </w:tcPr>
                <w:p w14:paraId="3E5C6BDC">
                  <w:pPr>
                    <w:numPr>
                      <w:ilvl w:val="0"/>
                      <w:numId w:val="14"/>
                    </w:numPr>
                    <w:topLinePunct/>
                    <w:adjustRightInd w:val="0"/>
                    <w:snapToGrid w:val="0"/>
                    <w:jc w:val="center"/>
                    <w:rPr>
                      <w:rFonts w:hint="eastAsia"/>
                      <w:color w:val="auto"/>
                      <w:szCs w:val="21"/>
                      <w:highlight w:val="none"/>
                    </w:rPr>
                  </w:pPr>
                </w:p>
              </w:tc>
              <w:tc>
                <w:tcPr>
                  <w:tcW w:w="1019" w:type="dxa"/>
                  <w:vMerge w:val="continue"/>
                  <w:shd w:val="clear" w:color="auto" w:fill="auto"/>
                  <w:vAlign w:val="center"/>
                </w:tcPr>
                <w:p w14:paraId="72E688CB">
                  <w:pPr>
                    <w:pStyle w:val="95"/>
                    <w:numPr>
                      <w:ilvl w:val="0"/>
                      <w:numId w:val="0"/>
                    </w:numPr>
                    <w:spacing w:before="0"/>
                    <w:rPr>
                      <w:color w:val="auto"/>
                      <w:sz w:val="21"/>
                      <w:szCs w:val="22"/>
                      <w:highlight w:val="none"/>
                      <w:lang w:bidi="en-US"/>
                    </w:rPr>
                  </w:pPr>
                </w:p>
              </w:tc>
              <w:tc>
                <w:tcPr>
                  <w:tcW w:w="1620" w:type="dxa"/>
                  <w:shd w:val="clear" w:color="auto" w:fill="auto"/>
                  <w:vAlign w:val="center"/>
                </w:tcPr>
                <w:p w14:paraId="17CA9DB6">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含油废抹布及手套</w:t>
                  </w:r>
                </w:p>
              </w:tc>
              <w:tc>
                <w:tcPr>
                  <w:tcW w:w="789" w:type="dxa"/>
                  <w:shd w:val="clear" w:color="auto" w:fill="auto"/>
                  <w:vAlign w:val="center"/>
                </w:tcPr>
                <w:p w14:paraId="5FABBCA4">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HW</w:t>
                  </w:r>
                  <w:r>
                    <w:rPr>
                      <w:rFonts w:hint="eastAsia"/>
                      <w:color w:val="auto"/>
                      <w:szCs w:val="21"/>
                      <w:highlight w:val="none"/>
                      <w:lang w:val="en-US" w:eastAsia="zh-CN"/>
                    </w:rPr>
                    <w:t>49</w:t>
                  </w:r>
                </w:p>
              </w:tc>
              <w:tc>
                <w:tcPr>
                  <w:tcW w:w="1327" w:type="dxa"/>
                  <w:shd w:val="clear" w:color="auto" w:fill="auto"/>
                  <w:vAlign w:val="center"/>
                </w:tcPr>
                <w:p w14:paraId="5FC9FB1C">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900-</w:t>
                  </w:r>
                  <w:r>
                    <w:rPr>
                      <w:rFonts w:hint="eastAsia" w:ascii="Times New Roman" w:hAnsi="Times New Roman" w:eastAsia="宋体" w:cs="Times New Roman"/>
                      <w:color w:val="auto"/>
                      <w:szCs w:val="21"/>
                      <w:highlight w:val="none"/>
                      <w:lang w:val="en-US" w:eastAsia="zh-CN"/>
                    </w:rPr>
                    <w:t>041-49</w:t>
                  </w:r>
                </w:p>
              </w:tc>
              <w:tc>
                <w:tcPr>
                  <w:tcW w:w="839" w:type="dxa"/>
                  <w:vMerge w:val="continue"/>
                  <w:shd w:val="clear" w:color="auto" w:fill="auto"/>
                  <w:vAlign w:val="center"/>
                </w:tcPr>
                <w:p w14:paraId="71587110">
                  <w:pPr>
                    <w:widowControl/>
                    <w:adjustRightInd w:val="0"/>
                    <w:snapToGrid w:val="0"/>
                    <w:jc w:val="center"/>
                    <w:rPr>
                      <w:color w:val="auto"/>
                      <w:szCs w:val="21"/>
                      <w:highlight w:val="none"/>
                    </w:rPr>
                  </w:pPr>
                </w:p>
              </w:tc>
              <w:tc>
                <w:tcPr>
                  <w:tcW w:w="675" w:type="dxa"/>
                  <w:vMerge w:val="continue"/>
                  <w:shd w:val="clear" w:color="auto" w:fill="auto"/>
                  <w:vAlign w:val="center"/>
                </w:tcPr>
                <w:p w14:paraId="41F47F0A">
                  <w:pPr>
                    <w:widowControl/>
                    <w:adjustRightInd w:val="0"/>
                    <w:snapToGrid w:val="0"/>
                    <w:jc w:val="center"/>
                    <w:rPr>
                      <w:rFonts w:hint="eastAsia"/>
                      <w:color w:val="auto"/>
                      <w:szCs w:val="21"/>
                      <w:highlight w:val="none"/>
                    </w:rPr>
                  </w:pPr>
                </w:p>
              </w:tc>
              <w:tc>
                <w:tcPr>
                  <w:tcW w:w="780" w:type="dxa"/>
                  <w:shd w:val="clear" w:color="auto" w:fill="auto"/>
                  <w:vAlign w:val="center"/>
                </w:tcPr>
                <w:p w14:paraId="6C11179F">
                  <w:pPr>
                    <w:contextualSpacing/>
                    <w:jc w:val="center"/>
                    <w:rPr>
                      <w:rFonts w:hint="eastAsia" w:ascii="Times New Roman" w:hAnsi="Times New Roman" w:eastAsia="宋体" w:cs="Times New Roman"/>
                      <w:color w:val="auto"/>
                      <w:kern w:val="0"/>
                      <w:sz w:val="21"/>
                      <w:szCs w:val="22"/>
                      <w:highlight w:val="none"/>
                      <w:lang w:val="en-US" w:eastAsia="zh-CN" w:bidi="en-US"/>
                    </w:rPr>
                  </w:pPr>
                  <w:r>
                    <w:rPr>
                      <w:rFonts w:hint="eastAsia" w:eastAsia="宋体"/>
                      <w:color w:val="auto"/>
                      <w:kern w:val="0"/>
                      <w:szCs w:val="22"/>
                      <w:highlight w:val="none"/>
                      <w:lang w:val="en-US" w:eastAsia="zh-CN" w:bidi="en-US"/>
                    </w:rPr>
                    <w:t>袋装</w:t>
                  </w:r>
                </w:p>
              </w:tc>
              <w:tc>
                <w:tcPr>
                  <w:tcW w:w="675" w:type="dxa"/>
                  <w:vMerge w:val="continue"/>
                  <w:shd w:val="clear" w:color="auto" w:fill="auto"/>
                  <w:vAlign w:val="center"/>
                </w:tcPr>
                <w:p w14:paraId="7FF5E4B8">
                  <w:pPr>
                    <w:topLinePunct/>
                    <w:adjustRightInd w:val="0"/>
                    <w:snapToGrid w:val="0"/>
                    <w:jc w:val="center"/>
                    <w:rPr>
                      <w:color w:val="auto"/>
                      <w:kern w:val="0"/>
                      <w:szCs w:val="21"/>
                      <w:highlight w:val="none"/>
                    </w:rPr>
                  </w:pPr>
                </w:p>
              </w:tc>
              <w:tc>
                <w:tcPr>
                  <w:tcW w:w="595" w:type="dxa"/>
                  <w:vMerge w:val="continue"/>
                  <w:shd w:val="clear" w:color="auto" w:fill="auto"/>
                  <w:vAlign w:val="center"/>
                </w:tcPr>
                <w:p w14:paraId="1D95F662">
                  <w:pPr>
                    <w:contextualSpacing/>
                    <w:jc w:val="center"/>
                    <w:rPr>
                      <w:bCs/>
                      <w:color w:val="auto"/>
                      <w:kern w:val="2"/>
                      <w:sz w:val="21"/>
                      <w:szCs w:val="24"/>
                      <w:highlight w:val="none"/>
                      <w:lang w:val="en-US" w:eastAsia="zh-CN" w:bidi="ar-SA"/>
                    </w:rPr>
                  </w:pPr>
                </w:p>
              </w:tc>
            </w:tr>
            <w:tr w14:paraId="14759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3" w:type="dxa"/>
                  <w:shd w:val="clear" w:color="auto" w:fill="auto"/>
                  <w:vAlign w:val="center"/>
                </w:tcPr>
                <w:p w14:paraId="44D9AC36">
                  <w:pPr>
                    <w:numPr>
                      <w:ilvl w:val="0"/>
                      <w:numId w:val="14"/>
                    </w:numPr>
                    <w:topLinePunct/>
                    <w:adjustRightInd w:val="0"/>
                    <w:snapToGrid w:val="0"/>
                    <w:jc w:val="center"/>
                    <w:rPr>
                      <w:rFonts w:hint="eastAsia"/>
                      <w:color w:val="auto"/>
                      <w:szCs w:val="21"/>
                      <w:highlight w:val="none"/>
                    </w:rPr>
                  </w:pPr>
                </w:p>
              </w:tc>
              <w:tc>
                <w:tcPr>
                  <w:tcW w:w="1019" w:type="dxa"/>
                  <w:vMerge w:val="continue"/>
                  <w:shd w:val="clear" w:color="auto" w:fill="auto"/>
                  <w:vAlign w:val="center"/>
                </w:tcPr>
                <w:p w14:paraId="18298EA6">
                  <w:pPr>
                    <w:pStyle w:val="95"/>
                    <w:numPr>
                      <w:ilvl w:val="0"/>
                      <w:numId w:val="0"/>
                    </w:numPr>
                    <w:spacing w:before="0"/>
                    <w:rPr>
                      <w:color w:val="auto"/>
                      <w:sz w:val="21"/>
                      <w:szCs w:val="22"/>
                      <w:highlight w:val="none"/>
                      <w:lang w:bidi="en-US"/>
                    </w:rPr>
                  </w:pPr>
                </w:p>
              </w:tc>
              <w:tc>
                <w:tcPr>
                  <w:tcW w:w="1620" w:type="dxa"/>
                  <w:shd w:val="clear" w:color="auto" w:fill="auto"/>
                  <w:vAlign w:val="center"/>
                </w:tcPr>
                <w:p w14:paraId="26CE08B0">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色粉包装袋</w:t>
                  </w:r>
                </w:p>
              </w:tc>
              <w:tc>
                <w:tcPr>
                  <w:tcW w:w="789" w:type="dxa"/>
                  <w:shd w:val="clear" w:color="auto" w:fill="auto"/>
                  <w:vAlign w:val="center"/>
                </w:tcPr>
                <w:p w14:paraId="2E5C693E">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color w:val="auto"/>
                      <w:kern w:val="0"/>
                      <w:szCs w:val="21"/>
                    </w:rPr>
                    <w:t>HW49</w:t>
                  </w:r>
                </w:p>
              </w:tc>
              <w:tc>
                <w:tcPr>
                  <w:tcW w:w="1327" w:type="dxa"/>
                  <w:shd w:val="clear" w:color="auto" w:fill="auto"/>
                  <w:vAlign w:val="center"/>
                </w:tcPr>
                <w:p w14:paraId="3622C6FD">
                  <w:pPr>
                    <w:topLinePunct/>
                    <w:adjustRightInd w:val="0"/>
                    <w:snapToGrid w:val="0"/>
                    <w:jc w:val="center"/>
                    <w:rPr>
                      <w:rFonts w:hint="eastAsia" w:ascii="Times New Roman" w:hAnsi="Times New Roman" w:eastAsia="宋体" w:cs="Times New Roman"/>
                      <w:color w:val="auto"/>
                      <w:kern w:val="0"/>
                      <w:sz w:val="21"/>
                      <w:szCs w:val="21"/>
                      <w:lang w:val="en-US" w:eastAsia="zh-CN" w:bidi="ar-SA"/>
                    </w:rPr>
                  </w:pPr>
                  <w:r>
                    <w:rPr>
                      <w:color w:val="auto"/>
                      <w:kern w:val="0"/>
                      <w:szCs w:val="21"/>
                    </w:rPr>
                    <w:t>900-041-49</w:t>
                  </w:r>
                </w:p>
              </w:tc>
              <w:tc>
                <w:tcPr>
                  <w:tcW w:w="839" w:type="dxa"/>
                  <w:vMerge w:val="continue"/>
                  <w:shd w:val="clear" w:color="auto" w:fill="auto"/>
                  <w:vAlign w:val="center"/>
                </w:tcPr>
                <w:p w14:paraId="6C25E832">
                  <w:pPr>
                    <w:widowControl/>
                    <w:adjustRightInd w:val="0"/>
                    <w:snapToGrid w:val="0"/>
                    <w:jc w:val="center"/>
                    <w:rPr>
                      <w:color w:val="auto"/>
                      <w:szCs w:val="21"/>
                      <w:highlight w:val="none"/>
                    </w:rPr>
                  </w:pPr>
                </w:p>
              </w:tc>
              <w:tc>
                <w:tcPr>
                  <w:tcW w:w="675" w:type="dxa"/>
                  <w:vMerge w:val="continue"/>
                  <w:shd w:val="clear" w:color="auto" w:fill="auto"/>
                  <w:vAlign w:val="center"/>
                </w:tcPr>
                <w:p w14:paraId="63328AE0">
                  <w:pPr>
                    <w:widowControl/>
                    <w:adjustRightInd w:val="0"/>
                    <w:snapToGrid w:val="0"/>
                    <w:jc w:val="center"/>
                    <w:rPr>
                      <w:rFonts w:hint="eastAsia"/>
                      <w:color w:val="auto"/>
                      <w:szCs w:val="21"/>
                      <w:highlight w:val="none"/>
                    </w:rPr>
                  </w:pPr>
                </w:p>
              </w:tc>
              <w:tc>
                <w:tcPr>
                  <w:tcW w:w="780" w:type="dxa"/>
                  <w:shd w:val="clear" w:color="auto" w:fill="auto"/>
                  <w:vAlign w:val="center"/>
                </w:tcPr>
                <w:p w14:paraId="29A68D61">
                  <w:pPr>
                    <w:contextualSpacing/>
                    <w:jc w:val="center"/>
                    <w:rPr>
                      <w:rFonts w:hint="eastAsia" w:ascii="Times New Roman" w:hAnsi="Times New Roman" w:eastAsia="宋体" w:cs="Times New Roman"/>
                      <w:color w:val="auto"/>
                      <w:kern w:val="0"/>
                      <w:sz w:val="21"/>
                      <w:szCs w:val="22"/>
                      <w:highlight w:val="none"/>
                      <w:lang w:val="en-US" w:eastAsia="zh-CN" w:bidi="en-US"/>
                    </w:rPr>
                  </w:pPr>
                  <w:r>
                    <w:rPr>
                      <w:rFonts w:hint="eastAsia" w:eastAsia="宋体"/>
                      <w:color w:val="auto"/>
                      <w:kern w:val="0"/>
                      <w:sz w:val="21"/>
                      <w:szCs w:val="22"/>
                      <w:highlight w:val="none"/>
                      <w:lang w:val="en-US" w:eastAsia="zh-CN" w:bidi="en-US"/>
                    </w:rPr>
                    <w:t>袋装</w:t>
                  </w:r>
                </w:p>
              </w:tc>
              <w:tc>
                <w:tcPr>
                  <w:tcW w:w="675" w:type="dxa"/>
                  <w:vMerge w:val="continue"/>
                  <w:shd w:val="clear" w:color="auto" w:fill="auto"/>
                  <w:vAlign w:val="center"/>
                </w:tcPr>
                <w:p w14:paraId="0764EF65">
                  <w:pPr>
                    <w:topLinePunct/>
                    <w:adjustRightInd w:val="0"/>
                    <w:snapToGrid w:val="0"/>
                    <w:jc w:val="center"/>
                    <w:rPr>
                      <w:color w:val="auto"/>
                      <w:kern w:val="0"/>
                      <w:szCs w:val="21"/>
                      <w:highlight w:val="none"/>
                    </w:rPr>
                  </w:pPr>
                </w:p>
              </w:tc>
              <w:tc>
                <w:tcPr>
                  <w:tcW w:w="595" w:type="dxa"/>
                  <w:vMerge w:val="continue"/>
                  <w:shd w:val="clear" w:color="auto" w:fill="auto"/>
                  <w:vAlign w:val="center"/>
                </w:tcPr>
                <w:p w14:paraId="2CA900D8">
                  <w:pPr>
                    <w:contextualSpacing/>
                    <w:jc w:val="center"/>
                    <w:rPr>
                      <w:bCs/>
                      <w:color w:val="auto"/>
                      <w:kern w:val="2"/>
                      <w:sz w:val="21"/>
                      <w:szCs w:val="24"/>
                      <w:highlight w:val="none"/>
                      <w:lang w:val="en-US" w:eastAsia="zh-CN" w:bidi="ar-SA"/>
                    </w:rPr>
                  </w:pPr>
                </w:p>
              </w:tc>
            </w:tr>
          </w:tbl>
          <w:p w14:paraId="0CE375FC">
            <w:pPr>
              <w:spacing w:line="360" w:lineRule="auto"/>
              <w:ind w:firstLine="482" w:firstLineChars="200"/>
              <w:rPr>
                <w:rFonts w:hint="eastAsia"/>
                <w:b/>
                <w:bCs/>
                <w:color w:val="auto"/>
                <w:sz w:val="24"/>
                <w:highlight w:val="none"/>
              </w:rPr>
            </w:pPr>
            <w:r>
              <w:rPr>
                <w:rFonts w:hint="eastAsia"/>
                <w:b/>
                <w:bCs/>
                <w:color w:val="auto"/>
                <w:sz w:val="24"/>
                <w:highlight w:val="none"/>
              </w:rPr>
              <w:t>五、土壤和地下水环境影响分析</w:t>
            </w:r>
          </w:p>
          <w:p w14:paraId="2753ED9F">
            <w:pPr>
              <w:adjustRightInd w:val="0"/>
              <w:snapToGrid w:val="0"/>
              <w:spacing w:line="360" w:lineRule="auto"/>
              <w:ind w:firstLine="480" w:firstLineChars="200"/>
              <w:rPr>
                <w:color w:val="auto"/>
                <w:sz w:val="24"/>
                <w:highlight w:val="none"/>
              </w:rPr>
            </w:pPr>
            <w:r>
              <w:rPr>
                <w:color w:val="auto"/>
                <w:sz w:val="24"/>
                <w:highlight w:val="none"/>
              </w:rPr>
              <w:t>5.1土壤</w:t>
            </w:r>
            <w:r>
              <w:rPr>
                <w:rFonts w:hint="eastAsia"/>
                <w:color w:val="auto"/>
                <w:sz w:val="24"/>
                <w:highlight w:val="none"/>
              </w:rPr>
              <w:t>、地下水</w:t>
            </w:r>
            <w:r>
              <w:rPr>
                <w:color w:val="auto"/>
                <w:sz w:val="24"/>
                <w:highlight w:val="none"/>
              </w:rPr>
              <w:t>环境保护措施</w:t>
            </w:r>
          </w:p>
          <w:p w14:paraId="41101AF9">
            <w:pPr>
              <w:adjustRightInd w:val="0"/>
              <w:snapToGrid w:val="0"/>
              <w:spacing w:line="360" w:lineRule="auto"/>
              <w:ind w:firstLine="480" w:firstLineChars="200"/>
              <w:rPr>
                <w:color w:val="auto"/>
                <w:sz w:val="24"/>
                <w:highlight w:val="none"/>
              </w:rPr>
            </w:pPr>
            <w:r>
              <w:rPr>
                <w:color w:val="auto"/>
                <w:sz w:val="24"/>
                <w:highlight w:val="none"/>
              </w:rPr>
              <w:t>1）源头控制措施</w:t>
            </w:r>
          </w:p>
          <w:p w14:paraId="2DB0ECD5">
            <w:pPr>
              <w:adjustRightInd w:val="0"/>
              <w:snapToGrid w:val="0"/>
              <w:spacing w:line="360" w:lineRule="auto"/>
              <w:ind w:firstLine="480" w:firstLineChars="200"/>
              <w:rPr>
                <w:color w:val="auto"/>
                <w:sz w:val="24"/>
                <w:highlight w:val="none"/>
              </w:rPr>
            </w:pPr>
            <w:r>
              <w:rPr>
                <w:color w:val="auto"/>
                <w:sz w:val="24"/>
                <w:highlight w:val="none"/>
              </w:rPr>
              <w:t>项目建设运营过程中，对土壤</w:t>
            </w:r>
            <w:r>
              <w:rPr>
                <w:rFonts w:hint="eastAsia"/>
                <w:color w:val="auto"/>
                <w:sz w:val="24"/>
                <w:highlight w:val="none"/>
              </w:rPr>
              <w:t>、地下水</w:t>
            </w:r>
            <w:r>
              <w:rPr>
                <w:color w:val="auto"/>
                <w:sz w:val="24"/>
                <w:highlight w:val="none"/>
              </w:rPr>
              <w:t>污染的主要途径为</w:t>
            </w:r>
            <w:r>
              <w:rPr>
                <w:rFonts w:hint="eastAsia"/>
                <w:color w:val="auto"/>
                <w:sz w:val="24"/>
                <w:highlight w:val="none"/>
              </w:rPr>
              <w:t>化学品泄漏、</w:t>
            </w:r>
            <w:r>
              <w:rPr>
                <w:rFonts w:hint="eastAsia"/>
                <w:color w:val="auto"/>
                <w:sz w:val="24"/>
                <w:highlight w:val="none"/>
                <w:lang w:val="en-US" w:eastAsia="zh-CN"/>
              </w:rPr>
              <w:t>生产废水泄露、</w:t>
            </w:r>
            <w:r>
              <w:rPr>
                <w:rFonts w:hint="eastAsia"/>
                <w:color w:val="auto"/>
                <w:sz w:val="24"/>
                <w:highlight w:val="none"/>
              </w:rPr>
              <w:t>危废</w:t>
            </w:r>
            <w:r>
              <w:rPr>
                <w:color w:val="auto"/>
                <w:sz w:val="24"/>
                <w:highlight w:val="none"/>
              </w:rPr>
              <w:t>垂直入渗进入土壤</w:t>
            </w:r>
            <w:r>
              <w:rPr>
                <w:rFonts w:hint="eastAsia"/>
                <w:color w:val="auto"/>
                <w:sz w:val="24"/>
                <w:highlight w:val="none"/>
              </w:rPr>
              <w:t>、地下水</w:t>
            </w:r>
            <w:r>
              <w:rPr>
                <w:color w:val="auto"/>
                <w:sz w:val="24"/>
                <w:highlight w:val="none"/>
              </w:rPr>
              <w:t>环境</w:t>
            </w:r>
            <w:r>
              <w:rPr>
                <w:rFonts w:hint="eastAsia"/>
                <w:color w:val="auto"/>
                <w:sz w:val="24"/>
                <w:highlight w:val="none"/>
              </w:rPr>
              <w:t>，大气沉降影响主要</w:t>
            </w:r>
            <w:r>
              <w:rPr>
                <w:rFonts w:hint="eastAsia"/>
                <w:color w:val="auto"/>
                <w:sz w:val="24"/>
                <w:highlight w:val="none"/>
                <w:lang w:eastAsia="zh-CN"/>
              </w:rPr>
              <w:t>挥发性有机物</w:t>
            </w:r>
            <w:r>
              <w:rPr>
                <w:rFonts w:hint="eastAsia"/>
                <w:color w:val="auto"/>
                <w:sz w:val="24"/>
                <w:highlight w:val="none"/>
              </w:rPr>
              <w:t>及臭气浓度</w:t>
            </w:r>
            <w:r>
              <w:rPr>
                <w:color w:val="auto"/>
                <w:sz w:val="24"/>
                <w:highlight w:val="none"/>
              </w:rPr>
              <w:t>。故本项目尽可能从源头上减少可能污染物产生，严格按照国家相关规范要求，对污染物进行有效治理达标排放，降低环境风险事故。</w:t>
            </w:r>
          </w:p>
          <w:p w14:paraId="1FB0FE59">
            <w:pPr>
              <w:adjustRightInd w:val="0"/>
              <w:snapToGrid w:val="0"/>
              <w:spacing w:line="360" w:lineRule="auto"/>
              <w:ind w:firstLine="480" w:firstLineChars="200"/>
              <w:rPr>
                <w:color w:val="auto"/>
                <w:sz w:val="24"/>
                <w:highlight w:val="none"/>
              </w:rPr>
            </w:pPr>
            <w:r>
              <w:rPr>
                <w:color w:val="auto"/>
                <w:sz w:val="24"/>
                <w:highlight w:val="none"/>
              </w:rPr>
              <w:t>2）过程控制措施</w:t>
            </w:r>
          </w:p>
          <w:p w14:paraId="1127ABEB">
            <w:pPr>
              <w:adjustRightInd w:val="0"/>
              <w:snapToGrid w:val="0"/>
              <w:spacing w:line="360" w:lineRule="auto"/>
              <w:ind w:firstLine="480" w:firstLineChars="200"/>
              <w:rPr>
                <w:color w:val="auto"/>
                <w:sz w:val="24"/>
                <w:highlight w:val="none"/>
              </w:rPr>
            </w:pPr>
            <w:r>
              <w:rPr>
                <w:color w:val="auto"/>
                <w:sz w:val="24"/>
                <w:highlight w:val="none"/>
              </w:rPr>
              <w:t>（1）</w:t>
            </w:r>
            <w:r>
              <w:rPr>
                <w:rFonts w:hint="eastAsia"/>
                <w:color w:val="auto"/>
                <w:sz w:val="24"/>
                <w:highlight w:val="none"/>
                <w:lang w:eastAsia="zh-CN"/>
              </w:rPr>
              <w:t>化学品仓、</w:t>
            </w:r>
            <w:r>
              <w:rPr>
                <w:color w:val="auto"/>
                <w:sz w:val="24"/>
                <w:highlight w:val="none"/>
              </w:rPr>
              <w:t>危险暂存点设置围堰等截留措施</w:t>
            </w:r>
          </w:p>
          <w:p w14:paraId="206FF6B4">
            <w:pPr>
              <w:adjustRightInd w:val="0"/>
              <w:snapToGrid w:val="0"/>
              <w:spacing w:line="360" w:lineRule="auto"/>
              <w:ind w:firstLine="480" w:firstLineChars="200"/>
              <w:rPr>
                <w:color w:val="auto"/>
                <w:sz w:val="24"/>
                <w:highlight w:val="none"/>
              </w:rPr>
            </w:pPr>
            <w:r>
              <w:rPr>
                <w:color w:val="auto"/>
                <w:sz w:val="24"/>
                <w:highlight w:val="none"/>
              </w:rPr>
              <w:t>对于项目事故状态的</w:t>
            </w:r>
            <w:r>
              <w:rPr>
                <w:rFonts w:hint="eastAsia"/>
                <w:color w:val="auto"/>
                <w:sz w:val="24"/>
                <w:highlight w:val="none"/>
                <w:lang w:eastAsia="zh-CN"/>
              </w:rPr>
              <w:t>液态化学品、</w:t>
            </w:r>
            <w:r>
              <w:rPr>
                <w:color w:val="auto"/>
                <w:sz w:val="24"/>
                <w:highlight w:val="none"/>
              </w:rPr>
              <w:t>危险废物等，必须保证不得流出厂界。项目须贯彻“围、堵、截”的原则，采取多级防护措施，确保事故废水未经处理不得出厂界。</w:t>
            </w:r>
          </w:p>
          <w:p w14:paraId="46EC2B71">
            <w:pPr>
              <w:adjustRightInd w:val="0"/>
              <w:snapToGrid w:val="0"/>
              <w:spacing w:line="360" w:lineRule="auto"/>
              <w:ind w:firstLine="480" w:firstLineChars="200"/>
              <w:rPr>
                <w:color w:val="auto"/>
                <w:sz w:val="24"/>
                <w:highlight w:val="none"/>
              </w:rPr>
            </w:pPr>
            <w:r>
              <w:rPr>
                <w:color w:val="auto"/>
                <w:sz w:val="24"/>
                <w:highlight w:val="none"/>
              </w:rPr>
              <w:t>车间、仓库地面设置环形沟，危险暂存点</w:t>
            </w:r>
            <w:r>
              <w:rPr>
                <w:rFonts w:hint="eastAsia"/>
                <w:color w:val="auto"/>
                <w:sz w:val="24"/>
                <w:highlight w:val="none"/>
              </w:rPr>
              <w:t>、</w:t>
            </w:r>
            <w:r>
              <w:rPr>
                <w:rFonts w:hint="eastAsia"/>
                <w:color w:val="auto"/>
                <w:sz w:val="24"/>
                <w:highlight w:val="none"/>
                <w:lang w:eastAsia="zh-CN"/>
              </w:rPr>
              <w:t>化学品仓、</w:t>
            </w:r>
            <w:r>
              <w:rPr>
                <w:rFonts w:hint="eastAsia"/>
                <w:color w:val="auto"/>
                <w:sz w:val="24"/>
                <w:highlight w:val="none"/>
                <w:lang w:val="en-US" w:eastAsia="zh-CN"/>
              </w:rPr>
              <w:t>表面处理线</w:t>
            </w:r>
            <w:r>
              <w:rPr>
                <w:color w:val="auto"/>
                <w:sz w:val="24"/>
                <w:highlight w:val="none"/>
              </w:rPr>
              <w:t>设置围堰，事故情况下，危险废物可得到有效截留，杜绝事故排放。</w:t>
            </w:r>
          </w:p>
          <w:p w14:paraId="4C6989E7">
            <w:pPr>
              <w:adjustRightInd w:val="0"/>
              <w:snapToGrid w:val="0"/>
              <w:spacing w:line="360" w:lineRule="auto"/>
              <w:ind w:firstLine="480" w:firstLineChars="200"/>
              <w:rPr>
                <w:color w:val="auto"/>
                <w:sz w:val="24"/>
                <w:highlight w:val="none"/>
              </w:rPr>
            </w:pPr>
            <w:r>
              <w:rPr>
                <w:color w:val="auto"/>
                <w:sz w:val="24"/>
                <w:highlight w:val="none"/>
              </w:rPr>
              <w:t>（2）地面硬化、雨水管网</w:t>
            </w:r>
          </w:p>
          <w:p w14:paraId="37613131">
            <w:pPr>
              <w:adjustRightInd w:val="0"/>
              <w:snapToGrid w:val="0"/>
              <w:spacing w:line="360" w:lineRule="auto"/>
              <w:ind w:firstLine="480" w:firstLineChars="200"/>
              <w:rPr>
                <w:color w:val="auto"/>
                <w:sz w:val="24"/>
                <w:highlight w:val="none"/>
              </w:rPr>
            </w:pPr>
            <w:r>
              <w:rPr>
                <w:color w:val="auto"/>
                <w:sz w:val="24"/>
                <w:highlight w:val="none"/>
              </w:rPr>
              <w:t>项目厂区对地面均进行硬化处理，对危险暂存点等可能存在泄漏、可能含有较高浓度污染物区域的进行收集和处理，避免初期雨水污染周边土壤。</w:t>
            </w:r>
          </w:p>
          <w:p w14:paraId="48F225C2">
            <w:pPr>
              <w:adjustRightInd w:val="0"/>
              <w:snapToGrid w:val="0"/>
              <w:spacing w:line="360" w:lineRule="auto"/>
              <w:ind w:firstLine="480" w:firstLineChars="200"/>
              <w:rPr>
                <w:color w:val="auto"/>
                <w:sz w:val="24"/>
                <w:highlight w:val="none"/>
              </w:rPr>
            </w:pPr>
            <w:r>
              <w:rPr>
                <w:rFonts w:hint="eastAsia"/>
                <w:color w:val="auto"/>
                <w:sz w:val="24"/>
                <w:highlight w:val="none"/>
              </w:rPr>
              <w:t>项目</w:t>
            </w:r>
            <w:r>
              <w:rPr>
                <w:rFonts w:hint="eastAsia"/>
                <w:color w:val="auto"/>
                <w:sz w:val="24"/>
                <w:highlight w:val="none"/>
                <w:lang w:eastAsia="zh-CN"/>
              </w:rPr>
              <w:t>园区内</w:t>
            </w:r>
            <w:r>
              <w:rPr>
                <w:rFonts w:hint="eastAsia"/>
                <w:color w:val="auto"/>
                <w:sz w:val="24"/>
                <w:highlight w:val="none"/>
              </w:rPr>
              <w:t>雨水截止阀和厂门口缓坡，能有效</w:t>
            </w:r>
            <w:r>
              <w:rPr>
                <w:rFonts w:hint="eastAsia"/>
                <w:color w:val="auto"/>
                <w:sz w:val="24"/>
                <w:highlight w:val="none"/>
                <w:lang w:val="en-US" w:eastAsia="zh-CN"/>
              </w:rPr>
              <w:t>地</w:t>
            </w:r>
            <w:r>
              <w:rPr>
                <w:rFonts w:hint="eastAsia"/>
                <w:color w:val="auto"/>
                <w:sz w:val="24"/>
                <w:highlight w:val="none"/>
              </w:rPr>
              <w:t>将事故给水截留到厂区内，不对外界造成影响。</w:t>
            </w:r>
          </w:p>
          <w:p w14:paraId="45BC3E88">
            <w:pPr>
              <w:pStyle w:val="26"/>
              <w:spacing w:line="360" w:lineRule="auto"/>
              <w:rPr>
                <w:color w:val="auto"/>
                <w:sz w:val="24"/>
                <w:highlight w:val="none"/>
              </w:rPr>
            </w:pPr>
            <w:r>
              <w:rPr>
                <w:color w:val="auto"/>
                <w:sz w:val="24"/>
                <w:highlight w:val="none"/>
              </w:rPr>
              <w:t>（</w:t>
            </w:r>
            <w:r>
              <w:rPr>
                <w:rFonts w:hint="eastAsia"/>
                <w:color w:val="auto"/>
                <w:sz w:val="24"/>
                <w:highlight w:val="none"/>
                <w:lang w:val="en-US" w:eastAsia="zh-CN"/>
              </w:rPr>
              <w:t>3</w:t>
            </w:r>
            <w:r>
              <w:rPr>
                <w:color w:val="auto"/>
                <w:sz w:val="24"/>
                <w:highlight w:val="none"/>
              </w:rPr>
              <w:t>）根据《关于印发&lt;地下水污染源防渗技术指南(试行)&gt;和&lt;废弃井封井回填技术指南（试行）&gt;的通知(环办土壤函[2020]72号)》对进行分区防控，将整项目划分为重点防渗区、一般防渗区及简单防渗区：</w:t>
            </w:r>
          </w:p>
          <w:p w14:paraId="4CC0E446">
            <w:pP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①</w:t>
            </w:r>
            <w:r>
              <w:rPr>
                <w:rFonts w:hint="eastAsia" w:ascii="宋体" w:hAnsi="宋体" w:cs="宋体"/>
                <w:color w:val="auto"/>
                <w:kern w:val="0"/>
                <w:sz w:val="24"/>
                <w:highlight w:val="none"/>
                <w:lang w:bidi="ar"/>
              </w:rPr>
              <w:t>重点防渗区：对于本项目，重点防渗区主要包括</w:t>
            </w:r>
            <w:r>
              <w:rPr>
                <w:rFonts w:hint="eastAsia" w:ascii="宋体" w:hAnsi="宋体" w:cs="宋体"/>
                <w:color w:val="auto"/>
                <w:kern w:val="0"/>
                <w:sz w:val="24"/>
                <w:highlight w:val="none"/>
                <w:lang w:eastAsia="zh-CN" w:bidi="ar"/>
              </w:rPr>
              <w:t>沉淀池、</w:t>
            </w:r>
            <w:r>
              <w:rPr>
                <w:rFonts w:hint="eastAsia" w:ascii="宋体" w:hAnsi="宋体" w:cs="宋体"/>
                <w:color w:val="auto"/>
                <w:kern w:val="0"/>
                <w:sz w:val="24"/>
                <w:highlight w:val="none"/>
                <w:lang w:val="en-US" w:eastAsia="zh-CN" w:bidi="ar"/>
              </w:rPr>
              <w:t>生产废水暂存区、</w:t>
            </w:r>
            <w:r>
              <w:rPr>
                <w:rFonts w:hint="eastAsia" w:ascii="宋体" w:hAnsi="宋体" w:cs="宋体"/>
                <w:color w:val="auto"/>
                <w:kern w:val="0"/>
                <w:sz w:val="24"/>
                <w:highlight w:val="none"/>
                <w:lang w:eastAsia="zh-CN" w:bidi="ar"/>
              </w:rPr>
              <w:t>化学品仓库、危废仓</w:t>
            </w:r>
            <w:r>
              <w:rPr>
                <w:rFonts w:hint="eastAsia" w:ascii="宋体" w:hAnsi="宋体" w:cs="宋体"/>
                <w:color w:val="auto"/>
                <w:kern w:val="0"/>
                <w:sz w:val="24"/>
                <w:highlight w:val="none"/>
                <w:lang w:bidi="ar"/>
              </w:rPr>
              <w:t>等；应对地表进防渗处理，</w:t>
            </w:r>
            <w:r>
              <w:rPr>
                <w:rFonts w:hint="eastAsia" w:ascii="宋体" w:hAnsi="宋体" w:cs="宋体"/>
                <w:color w:val="auto"/>
                <w:spacing w:val="-3"/>
                <w:sz w:val="24"/>
                <w:highlight w:val="none"/>
                <w:shd w:val="clear" w:color="auto" w:fill="FFFFFF"/>
              </w:rPr>
              <w:t>防渗技术要求为等效粘土防渗</w:t>
            </w:r>
            <w:r>
              <w:rPr>
                <w:rFonts w:hint="eastAsia" w:ascii="宋体" w:hAnsi="宋体" w:cs="宋体"/>
                <w:color w:val="auto"/>
                <w:sz w:val="24"/>
                <w:highlight w:val="none"/>
                <w:shd w:val="clear" w:color="auto" w:fill="FFFFFF"/>
              </w:rPr>
              <w:t>层</w:t>
            </w:r>
            <w:r>
              <w:rPr>
                <w:rFonts w:hint="eastAsia"/>
                <w:color w:val="auto"/>
                <w:kern w:val="0"/>
                <w:sz w:val="24"/>
                <w:highlight w:val="none"/>
                <w:lang w:bidi="ar"/>
              </w:rPr>
              <w:t>Mb≥6.0m，K≤10</w:t>
            </w:r>
            <w:r>
              <w:rPr>
                <w:rFonts w:hint="eastAsia"/>
                <w:color w:val="auto"/>
                <w:kern w:val="0"/>
                <w:sz w:val="24"/>
                <w:highlight w:val="none"/>
                <w:vertAlign w:val="superscript"/>
                <w:lang w:bidi="ar"/>
              </w:rPr>
              <w:t>-7</w:t>
            </w:r>
            <w:r>
              <w:rPr>
                <w:rFonts w:hint="eastAsia"/>
                <w:color w:val="auto"/>
                <w:kern w:val="0"/>
                <w:sz w:val="24"/>
                <w:highlight w:val="none"/>
                <w:lang w:bidi="ar"/>
              </w:rPr>
              <w:t>cm/s</w:t>
            </w:r>
            <w:r>
              <w:rPr>
                <w:rFonts w:hint="eastAsia" w:ascii="宋体" w:hAnsi="宋体" w:cs="宋体"/>
                <w:color w:val="auto"/>
                <w:kern w:val="0"/>
                <w:sz w:val="24"/>
                <w:highlight w:val="none"/>
                <w:lang w:bidi="ar"/>
              </w:rPr>
              <w:t>。</w:t>
            </w:r>
            <w:r>
              <w:rPr>
                <w:rFonts w:hint="eastAsia" w:ascii="宋体" w:hAnsi="宋体" w:cs="宋体"/>
                <w:color w:val="auto"/>
                <w:kern w:val="0"/>
                <w:sz w:val="24"/>
                <w:highlight w:val="none"/>
                <w:lang w:val="en-US" w:eastAsia="zh-CN" w:bidi="ar"/>
              </w:rPr>
              <w:t xml:space="preserve">          </w:t>
            </w:r>
          </w:p>
          <w:p w14:paraId="7FB0FB28">
            <w:pPr>
              <w:spacing w:line="360" w:lineRule="auto"/>
              <w:ind w:firstLine="480" w:firstLineChars="200"/>
              <w:rPr>
                <w:rFonts w:hint="eastAsia"/>
                <w:color w:val="auto"/>
                <w:kern w:val="0"/>
                <w:sz w:val="24"/>
                <w:highlight w:val="none"/>
                <w:lang w:bidi="ar"/>
              </w:rPr>
            </w:pPr>
            <w:r>
              <w:rPr>
                <w:rFonts w:hint="eastAsia" w:ascii="宋体" w:hAnsi="宋体" w:cs="宋体"/>
                <w:color w:val="auto"/>
                <w:sz w:val="24"/>
                <w:highlight w:val="none"/>
              </w:rPr>
              <w:t>②</w:t>
            </w:r>
            <w:r>
              <w:rPr>
                <w:rFonts w:hint="eastAsia" w:ascii="宋体" w:hAnsi="宋体" w:cs="宋体"/>
                <w:color w:val="auto"/>
                <w:kern w:val="0"/>
                <w:sz w:val="24"/>
                <w:highlight w:val="none"/>
                <w:lang w:bidi="ar"/>
              </w:rPr>
              <w:t>一般防渗区：生产车间</w:t>
            </w:r>
            <w:r>
              <w:rPr>
                <w:rFonts w:hint="eastAsia"/>
                <w:color w:val="auto"/>
                <w:sz w:val="24"/>
                <w:szCs w:val="32"/>
                <w:highlight w:val="none"/>
              </w:rPr>
              <w:t>、一般固废仓等</w:t>
            </w:r>
            <w:r>
              <w:rPr>
                <w:rFonts w:hint="eastAsia" w:ascii="宋体" w:hAnsi="宋体" w:cs="宋体"/>
                <w:color w:val="auto"/>
                <w:kern w:val="0"/>
                <w:sz w:val="24"/>
                <w:highlight w:val="none"/>
                <w:lang w:bidi="ar"/>
              </w:rPr>
              <w:t>，</w:t>
            </w:r>
            <w:r>
              <w:rPr>
                <w:rFonts w:hint="eastAsia" w:ascii="宋体" w:hAnsi="宋体" w:cs="宋体"/>
                <w:color w:val="auto"/>
                <w:spacing w:val="-3"/>
                <w:sz w:val="24"/>
                <w:highlight w:val="none"/>
                <w:shd w:val="clear" w:color="auto" w:fill="FFFFFF"/>
              </w:rPr>
              <w:t>防渗技术要求为等效粘土防渗</w:t>
            </w:r>
            <w:r>
              <w:rPr>
                <w:rFonts w:hint="eastAsia" w:ascii="宋体" w:hAnsi="宋体" w:cs="宋体"/>
                <w:color w:val="auto"/>
                <w:sz w:val="24"/>
                <w:highlight w:val="none"/>
                <w:shd w:val="clear" w:color="auto" w:fill="FFFFFF"/>
              </w:rPr>
              <w:t>层</w:t>
            </w:r>
            <w:r>
              <w:rPr>
                <w:rFonts w:hint="eastAsia"/>
                <w:color w:val="auto"/>
                <w:kern w:val="0"/>
                <w:sz w:val="24"/>
                <w:highlight w:val="none"/>
                <w:lang w:bidi="ar"/>
              </w:rPr>
              <w:t>Mb≥1.5m，K≤10</w:t>
            </w:r>
            <w:r>
              <w:rPr>
                <w:rFonts w:hint="eastAsia"/>
                <w:color w:val="auto"/>
                <w:kern w:val="0"/>
                <w:sz w:val="24"/>
                <w:highlight w:val="none"/>
                <w:vertAlign w:val="superscript"/>
                <w:lang w:bidi="ar"/>
              </w:rPr>
              <w:t>-7</w:t>
            </w:r>
            <w:r>
              <w:rPr>
                <w:rFonts w:hint="eastAsia"/>
                <w:color w:val="auto"/>
                <w:kern w:val="0"/>
                <w:sz w:val="24"/>
                <w:highlight w:val="none"/>
                <w:lang w:bidi="ar"/>
              </w:rPr>
              <w:t>cm/s。</w:t>
            </w:r>
          </w:p>
          <w:p w14:paraId="0D73B78F">
            <w:pPr>
              <w:spacing w:line="360" w:lineRule="auto"/>
              <w:ind w:firstLine="480" w:firstLineChars="200"/>
              <w:rPr>
                <w:color w:val="auto"/>
                <w:sz w:val="24"/>
                <w:highlight w:val="none"/>
              </w:rPr>
            </w:pPr>
            <w:r>
              <w:rPr>
                <w:rFonts w:hint="eastAsia" w:ascii="宋体" w:hAnsi="宋体" w:cs="宋体"/>
                <w:color w:val="auto"/>
                <w:sz w:val="24"/>
                <w:highlight w:val="none"/>
              </w:rPr>
              <w:t>③</w:t>
            </w:r>
            <w:r>
              <w:rPr>
                <w:rFonts w:hint="eastAsia" w:ascii="宋体" w:hAnsi="宋体" w:cs="宋体"/>
                <w:color w:val="auto"/>
                <w:kern w:val="0"/>
                <w:sz w:val="24"/>
                <w:highlight w:val="none"/>
                <w:lang w:bidi="ar"/>
              </w:rPr>
              <w:t>简单防渗区：指不会对地下水环境造成污染的区域，主要包括办公区等，一般地面硬化。</w:t>
            </w:r>
          </w:p>
          <w:p w14:paraId="466EB83F">
            <w:pPr>
              <w:pStyle w:val="26"/>
              <w:spacing w:line="360" w:lineRule="auto"/>
              <w:rPr>
                <w:rFonts w:hint="eastAsia"/>
                <w:color w:val="auto"/>
                <w:sz w:val="24"/>
                <w:highlight w:val="none"/>
              </w:rPr>
            </w:pPr>
            <w:r>
              <w:rPr>
                <w:color w:val="auto"/>
                <w:sz w:val="24"/>
                <w:highlight w:val="none"/>
              </w:rPr>
              <w:t>（</w:t>
            </w:r>
            <w:r>
              <w:rPr>
                <w:rFonts w:hint="eastAsia"/>
                <w:color w:val="auto"/>
                <w:sz w:val="24"/>
                <w:highlight w:val="none"/>
                <w:lang w:val="en-US" w:eastAsia="zh-CN"/>
              </w:rPr>
              <w:t>4</w:t>
            </w:r>
            <w:r>
              <w:rPr>
                <w:color w:val="auto"/>
                <w:sz w:val="24"/>
                <w:highlight w:val="none"/>
              </w:rPr>
              <w:t>）</w:t>
            </w:r>
            <w:r>
              <w:rPr>
                <w:rFonts w:hint="eastAsia"/>
                <w:color w:val="auto"/>
                <w:sz w:val="24"/>
                <w:highlight w:val="none"/>
              </w:rPr>
              <w:t>废气治理设施</w:t>
            </w:r>
          </w:p>
          <w:p w14:paraId="02696E0D">
            <w:pPr>
              <w:spacing w:line="360" w:lineRule="auto"/>
              <w:ind w:firstLine="480" w:firstLineChars="200"/>
              <w:rPr>
                <w:color w:val="auto"/>
                <w:sz w:val="24"/>
                <w:highlight w:val="none"/>
              </w:rPr>
            </w:pPr>
            <w:r>
              <w:rPr>
                <w:rFonts w:hint="eastAsia"/>
                <w:color w:val="auto"/>
                <w:sz w:val="24"/>
                <w:highlight w:val="none"/>
              </w:rPr>
              <w:t>企业产生的废气由于治理设施电气故障、机械故障、员工操作失误等原因造成废气未处理直接排放，污染物会造成大气环境质量下降。公司将定期对设施进行线路、管道、机械检查，实时监控废气处理设施运行情况。</w:t>
            </w:r>
          </w:p>
          <w:p w14:paraId="1EEDDE5C">
            <w:pPr>
              <w:numPr>
                <w:ilvl w:val="0"/>
                <w:numId w:val="0"/>
              </w:numPr>
              <w:spacing w:line="360" w:lineRule="auto"/>
              <w:ind w:firstLine="480" w:firstLineChars="200"/>
              <w:rPr>
                <w:rFonts w:hint="eastAsia"/>
                <w:b/>
                <w:bCs/>
                <w:color w:val="auto"/>
                <w:sz w:val="24"/>
                <w:highlight w:val="none"/>
              </w:rPr>
            </w:pPr>
            <w:r>
              <w:rPr>
                <w:color w:val="auto"/>
                <w:sz w:val="24"/>
                <w:highlight w:val="none"/>
              </w:rPr>
              <w:t>项目针对各类污染物均采取了对应的污染治理措施，可确保污染物的达标排放，从源头和过程控制项目对区域土壤</w:t>
            </w:r>
            <w:r>
              <w:rPr>
                <w:rFonts w:hint="eastAsia"/>
                <w:color w:val="auto"/>
                <w:sz w:val="24"/>
                <w:highlight w:val="none"/>
              </w:rPr>
              <w:t>、地下水</w:t>
            </w:r>
            <w:r>
              <w:rPr>
                <w:color w:val="auto"/>
                <w:sz w:val="24"/>
                <w:highlight w:val="none"/>
              </w:rPr>
              <w:t>环境的污染，确保项目对区域土壤</w:t>
            </w:r>
            <w:r>
              <w:rPr>
                <w:rFonts w:hint="eastAsia"/>
                <w:color w:val="auto"/>
                <w:sz w:val="24"/>
                <w:highlight w:val="none"/>
              </w:rPr>
              <w:t>、地下水</w:t>
            </w:r>
            <w:r>
              <w:rPr>
                <w:color w:val="auto"/>
                <w:sz w:val="24"/>
                <w:highlight w:val="none"/>
              </w:rPr>
              <w:t>环境的影响处于可接受水平</w:t>
            </w:r>
            <w:r>
              <w:rPr>
                <w:rFonts w:hint="eastAsia"/>
                <w:color w:val="auto"/>
                <w:sz w:val="24"/>
                <w:highlight w:val="none"/>
                <w:lang w:eastAsia="zh-CN"/>
              </w:rPr>
              <w:t>，做好防渗措施的情况下影响不大，无需进行跟踪监测</w:t>
            </w:r>
            <w:r>
              <w:rPr>
                <w:color w:val="auto"/>
                <w:sz w:val="24"/>
                <w:highlight w:val="none"/>
              </w:rPr>
              <w:t>。</w:t>
            </w:r>
          </w:p>
          <w:p w14:paraId="12D67F5F">
            <w:pPr>
              <w:numPr>
                <w:ilvl w:val="0"/>
                <w:numId w:val="15"/>
              </w:numPr>
              <w:spacing w:line="360" w:lineRule="auto"/>
              <w:ind w:firstLine="482" w:firstLineChars="200"/>
              <w:rPr>
                <w:rFonts w:hint="eastAsia"/>
                <w:b/>
                <w:bCs/>
                <w:color w:val="auto"/>
                <w:sz w:val="24"/>
                <w:highlight w:val="none"/>
              </w:rPr>
            </w:pPr>
            <w:r>
              <w:rPr>
                <w:rFonts w:hint="eastAsia"/>
                <w:b/>
                <w:bCs/>
                <w:color w:val="auto"/>
                <w:sz w:val="24"/>
                <w:highlight w:val="none"/>
              </w:rPr>
              <w:t>环境风险影响分析</w:t>
            </w:r>
          </w:p>
          <w:p w14:paraId="0845D047">
            <w:pPr>
              <w:pStyle w:val="95"/>
              <w:spacing w:before="120"/>
              <w:ind w:left="0"/>
              <w:rPr>
                <w:b/>
                <w:color w:val="auto"/>
                <w:kern w:val="2"/>
                <w:sz w:val="21"/>
                <w:szCs w:val="21"/>
                <w:highlight w:val="none"/>
              </w:rPr>
            </w:pPr>
            <w:r>
              <w:rPr>
                <w:b/>
                <w:color w:val="auto"/>
                <w:kern w:val="2"/>
                <w:sz w:val="21"/>
                <w:szCs w:val="21"/>
                <w:highlight w:val="none"/>
              </w:rPr>
              <w:t>企业风险物质与临界量比值表</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39"/>
              <w:gridCol w:w="1939"/>
              <w:gridCol w:w="2694"/>
              <w:gridCol w:w="2052"/>
              <w:gridCol w:w="1213"/>
            </w:tblGrid>
            <w:tr w14:paraId="189AA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31" w:type="pct"/>
                  <w:tcBorders>
                    <w:top w:val="single" w:color="auto" w:sz="4" w:space="0"/>
                    <w:left w:val="single" w:color="auto" w:sz="4" w:space="0"/>
                    <w:bottom w:val="single" w:color="auto" w:sz="4" w:space="0"/>
                    <w:right w:val="single" w:color="auto" w:sz="4" w:space="0"/>
                  </w:tcBorders>
                  <w:shd w:val="clear" w:color="auto" w:fill="auto"/>
                  <w:vAlign w:val="center"/>
                </w:tcPr>
                <w:p w14:paraId="41A86196">
                  <w:pPr>
                    <w:widowControl/>
                    <w:jc w:val="center"/>
                    <w:rPr>
                      <w:b/>
                      <w:bCs/>
                      <w:color w:val="auto"/>
                      <w:szCs w:val="21"/>
                      <w:highlight w:val="none"/>
                    </w:rPr>
                  </w:pPr>
                  <w:r>
                    <w:rPr>
                      <w:b/>
                      <w:bCs/>
                      <w:color w:val="auto"/>
                      <w:szCs w:val="21"/>
                      <w:highlight w:val="none"/>
                    </w:rPr>
                    <w:t>序号</w:t>
                  </w:r>
                </w:p>
              </w:tc>
              <w:tc>
                <w:tcPr>
                  <w:tcW w:w="1097" w:type="pct"/>
                  <w:tcBorders>
                    <w:top w:val="single" w:color="auto" w:sz="4" w:space="0"/>
                    <w:left w:val="single" w:color="auto" w:sz="4" w:space="0"/>
                    <w:bottom w:val="single" w:color="auto" w:sz="4" w:space="0"/>
                    <w:right w:val="single" w:color="auto" w:sz="4" w:space="0"/>
                  </w:tcBorders>
                  <w:shd w:val="clear" w:color="auto" w:fill="auto"/>
                  <w:vAlign w:val="center"/>
                </w:tcPr>
                <w:p w14:paraId="50EFFD83">
                  <w:pPr>
                    <w:widowControl/>
                    <w:jc w:val="center"/>
                    <w:rPr>
                      <w:b/>
                      <w:bCs/>
                      <w:color w:val="auto"/>
                      <w:szCs w:val="21"/>
                      <w:highlight w:val="none"/>
                    </w:rPr>
                  </w:pPr>
                  <w:r>
                    <w:rPr>
                      <w:b/>
                      <w:bCs/>
                      <w:color w:val="auto"/>
                      <w:szCs w:val="21"/>
                      <w:highlight w:val="none"/>
                    </w:rPr>
                    <w:t>物质名称</w:t>
                  </w:r>
                </w:p>
              </w:tc>
              <w:tc>
                <w:tcPr>
                  <w:tcW w:w="1524" w:type="pct"/>
                  <w:tcBorders>
                    <w:top w:val="single" w:color="auto" w:sz="4" w:space="0"/>
                    <w:left w:val="single" w:color="auto" w:sz="4" w:space="0"/>
                    <w:bottom w:val="single" w:color="auto" w:sz="4" w:space="0"/>
                    <w:right w:val="single" w:color="auto" w:sz="4" w:space="0"/>
                  </w:tcBorders>
                  <w:shd w:val="clear" w:color="auto" w:fill="auto"/>
                  <w:vAlign w:val="center"/>
                </w:tcPr>
                <w:p w14:paraId="2574745C">
                  <w:pPr>
                    <w:widowControl/>
                    <w:jc w:val="center"/>
                    <w:rPr>
                      <w:b/>
                      <w:bCs/>
                      <w:color w:val="auto"/>
                      <w:szCs w:val="21"/>
                      <w:highlight w:val="none"/>
                    </w:rPr>
                  </w:pPr>
                  <w:r>
                    <w:rPr>
                      <w:b/>
                      <w:bCs/>
                      <w:color w:val="auto"/>
                      <w:szCs w:val="21"/>
                      <w:highlight w:val="none"/>
                    </w:rPr>
                    <w:t>最大储存量（t）</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51250CAE">
                  <w:pPr>
                    <w:widowControl/>
                    <w:jc w:val="center"/>
                    <w:rPr>
                      <w:b/>
                      <w:bCs/>
                      <w:color w:val="auto"/>
                      <w:szCs w:val="21"/>
                      <w:highlight w:val="none"/>
                    </w:rPr>
                  </w:pPr>
                  <w:r>
                    <w:rPr>
                      <w:b/>
                      <w:bCs/>
                      <w:color w:val="auto"/>
                      <w:szCs w:val="21"/>
                      <w:highlight w:val="none"/>
                    </w:rPr>
                    <w:t>临界量（t）</w:t>
                  </w:r>
                </w:p>
              </w:tc>
              <w:tc>
                <w:tcPr>
                  <w:tcW w:w="686" w:type="pct"/>
                  <w:tcBorders>
                    <w:top w:val="single" w:color="auto" w:sz="4" w:space="0"/>
                    <w:left w:val="single" w:color="auto" w:sz="4" w:space="0"/>
                    <w:bottom w:val="single" w:color="auto" w:sz="4" w:space="0"/>
                    <w:right w:val="single" w:color="auto" w:sz="4" w:space="0"/>
                  </w:tcBorders>
                  <w:shd w:val="clear" w:color="auto" w:fill="auto"/>
                  <w:vAlign w:val="center"/>
                </w:tcPr>
                <w:p w14:paraId="4A67E79E">
                  <w:pPr>
                    <w:widowControl/>
                    <w:jc w:val="center"/>
                    <w:rPr>
                      <w:b/>
                      <w:bCs/>
                      <w:color w:val="auto"/>
                      <w:szCs w:val="21"/>
                      <w:highlight w:val="none"/>
                    </w:rPr>
                  </w:pPr>
                  <w:r>
                    <w:rPr>
                      <w:b/>
                      <w:bCs/>
                      <w:color w:val="auto"/>
                      <w:szCs w:val="21"/>
                      <w:highlight w:val="none"/>
                    </w:rPr>
                    <w:t>比值</w:t>
                  </w:r>
                </w:p>
              </w:tc>
            </w:tr>
            <w:tr w14:paraId="232E8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tcBorders>
                    <w:top w:val="single" w:color="auto" w:sz="4" w:space="0"/>
                    <w:left w:val="single" w:color="auto" w:sz="4" w:space="0"/>
                    <w:bottom w:val="single" w:color="auto" w:sz="4" w:space="0"/>
                    <w:right w:val="single" w:color="auto" w:sz="4" w:space="0"/>
                  </w:tcBorders>
                  <w:shd w:val="clear" w:color="auto" w:fill="auto"/>
                  <w:vAlign w:val="center"/>
                </w:tcPr>
                <w:p w14:paraId="46D26AD0">
                  <w:pPr>
                    <w:widowControl/>
                    <w:jc w:val="center"/>
                    <w:rPr>
                      <w:rFonts w:hint="eastAsia" w:eastAsia="宋体"/>
                      <w:color w:val="auto"/>
                      <w:szCs w:val="21"/>
                      <w:highlight w:val="none"/>
                      <w:lang w:eastAsia="zh-CN"/>
                    </w:rPr>
                  </w:pPr>
                  <w:r>
                    <w:rPr>
                      <w:rFonts w:hint="eastAsia"/>
                      <w:color w:val="auto"/>
                      <w:szCs w:val="21"/>
                      <w:highlight w:val="none"/>
                      <w:lang w:val="en-US" w:eastAsia="zh-CN"/>
                    </w:rPr>
                    <w:t>1</w:t>
                  </w:r>
                </w:p>
              </w:tc>
              <w:tc>
                <w:tcPr>
                  <w:tcW w:w="1097" w:type="pct"/>
                  <w:tcBorders>
                    <w:top w:val="single" w:color="auto" w:sz="4" w:space="0"/>
                    <w:left w:val="single" w:color="auto" w:sz="4" w:space="0"/>
                    <w:bottom w:val="single" w:color="auto" w:sz="4" w:space="0"/>
                    <w:right w:val="single" w:color="auto" w:sz="4" w:space="0"/>
                  </w:tcBorders>
                  <w:shd w:val="clear" w:color="auto" w:fill="auto"/>
                  <w:vAlign w:val="center"/>
                </w:tcPr>
                <w:p w14:paraId="20DF48AC">
                  <w:pPr>
                    <w:widowControl/>
                    <w:jc w:val="center"/>
                    <w:rPr>
                      <w:rFonts w:hint="eastAsia" w:eastAsia="宋体"/>
                      <w:color w:val="auto"/>
                      <w:kern w:val="0"/>
                      <w:sz w:val="21"/>
                      <w:szCs w:val="21"/>
                      <w:highlight w:val="none"/>
                      <w:lang w:val="en-US" w:eastAsia="zh-CN" w:bidi="ar-SA"/>
                    </w:rPr>
                  </w:pPr>
                  <w:r>
                    <w:rPr>
                      <w:rFonts w:hint="eastAsia"/>
                      <w:color w:val="auto"/>
                      <w:kern w:val="0"/>
                      <w:szCs w:val="21"/>
                      <w:highlight w:val="none"/>
                    </w:rPr>
                    <w:t>机油</w:t>
                  </w:r>
                </w:p>
              </w:tc>
              <w:tc>
                <w:tcPr>
                  <w:tcW w:w="1524" w:type="pct"/>
                  <w:tcBorders>
                    <w:top w:val="single" w:color="auto" w:sz="4" w:space="0"/>
                    <w:left w:val="single" w:color="auto" w:sz="4" w:space="0"/>
                    <w:bottom w:val="single" w:color="auto" w:sz="4" w:space="0"/>
                    <w:right w:val="single" w:color="auto" w:sz="4" w:space="0"/>
                  </w:tcBorders>
                  <w:shd w:val="clear" w:color="auto" w:fill="auto"/>
                  <w:vAlign w:val="center"/>
                </w:tcPr>
                <w:p w14:paraId="0D9C3D69">
                  <w:pPr>
                    <w:widowControl/>
                    <w:jc w:val="center"/>
                    <w:rPr>
                      <w:rFonts w:hint="default"/>
                      <w:color w:val="auto"/>
                      <w:szCs w:val="21"/>
                      <w:highlight w:val="none"/>
                      <w:lang w:val="en-US"/>
                    </w:rPr>
                  </w:pPr>
                  <w:r>
                    <w:rPr>
                      <w:rFonts w:hint="eastAsia"/>
                      <w:color w:val="auto"/>
                      <w:szCs w:val="21"/>
                      <w:highlight w:val="none"/>
                      <w:lang w:val="en-US" w:eastAsia="zh-CN"/>
                    </w:rPr>
                    <w:t>0.1</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495C7B12">
                  <w:pPr>
                    <w:widowControl/>
                    <w:jc w:val="center"/>
                    <w:rPr>
                      <w:color w:val="auto"/>
                      <w:szCs w:val="21"/>
                      <w:highlight w:val="none"/>
                    </w:rPr>
                  </w:pPr>
                  <w:r>
                    <w:rPr>
                      <w:rFonts w:hint="eastAsia"/>
                      <w:color w:val="auto"/>
                      <w:szCs w:val="21"/>
                      <w:highlight w:val="none"/>
                    </w:rPr>
                    <w:t>2500</w:t>
                  </w:r>
                </w:p>
              </w:tc>
              <w:tc>
                <w:tcPr>
                  <w:tcW w:w="686" w:type="pct"/>
                  <w:tcBorders>
                    <w:top w:val="single" w:color="auto" w:sz="4" w:space="0"/>
                    <w:left w:val="single" w:color="auto" w:sz="4" w:space="0"/>
                    <w:bottom w:val="single" w:color="auto" w:sz="4" w:space="0"/>
                    <w:right w:val="single" w:color="auto" w:sz="4" w:space="0"/>
                  </w:tcBorders>
                  <w:shd w:val="clear" w:color="auto" w:fill="auto"/>
                  <w:vAlign w:val="center"/>
                </w:tcPr>
                <w:p w14:paraId="7CF425E2">
                  <w:pPr>
                    <w:widowControl/>
                    <w:jc w:val="center"/>
                    <w:textAlignment w:val="center"/>
                    <w:rPr>
                      <w:rFonts w:hint="default" w:eastAsia="宋体"/>
                      <w:color w:val="auto"/>
                      <w:kern w:val="0"/>
                      <w:szCs w:val="21"/>
                      <w:highlight w:val="none"/>
                      <w:lang w:val="en-US" w:eastAsia="zh-CN"/>
                    </w:rPr>
                  </w:pPr>
                  <w:r>
                    <w:rPr>
                      <w:rFonts w:hint="eastAsia"/>
                      <w:color w:val="auto"/>
                      <w:kern w:val="0"/>
                      <w:szCs w:val="21"/>
                      <w:highlight w:val="none"/>
                    </w:rPr>
                    <w:t>0.0</w:t>
                  </w:r>
                  <w:r>
                    <w:rPr>
                      <w:rFonts w:hint="eastAsia"/>
                      <w:color w:val="auto"/>
                      <w:kern w:val="0"/>
                      <w:szCs w:val="21"/>
                      <w:highlight w:val="none"/>
                      <w:lang w:val="en-US" w:eastAsia="zh-CN"/>
                    </w:rPr>
                    <w:t>0004</w:t>
                  </w:r>
                </w:p>
              </w:tc>
            </w:tr>
            <w:tr w14:paraId="7FBCD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tcBorders>
                    <w:top w:val="single" w:color="auto" w:sz="4" w:space="0"/>
                    <w:left w:val="single" w:color="auto" w:sz="4" w:space="0"/>
                    <w:bottom w:val="single" w:color="auto" w:sz="4" w:space="0"/>
                    <w:right w:val="single" w:color="auto" w:sz="4" w:space="0"/>
                  </w:tcBorders>
                  <w:shd w:val="clear" w:color="auto" w:fill="auto"/>
                  <w:vAlign w:val="center"/>
                </w:tcPr>
                <w:p w14:paraId="5171A007">
                  <w:pPr>
                    <w:widowControl/>
                    <w:jc w:val="center"/>
                    <w:rPr>
                      <w:rFonts w:hint="default"/>
                      <w:color w:val="auto"/>
                      <w:szCs w:val="21"/>
                      <w:highlight w:val="none"/>
                      <w:lang w:val="en-US" w:eastAsia="zh-CN"/>
                    </w:rPr>
                  </w:pPr>
                  <w:r>
                    <w:rPr>
                      <w:rFonts w:hint="eastAsia"/>
                      <w:color w:val="auto"/>
                      <w:szCs w:val="21"/>
                      <w:highlight w:val="none"/>
                      <w:lang w:val="en-US" w:eastAsia="zh-CN"/>
                    </w:rPr>
                    <w:t>2</w:t>
                  </w:r>
                </w:p>
              </w:tc>
              <w:tc>
                <w:tcPr>
                  <w:tcW w:w="1097" w:type="pct"/>
                  <w:tcBorders>
                    <w:top w:val="single" w:color="auto" w:sz="4" w:space="0"/>
                    <w:left w:val="single" w:color="auto" w:sz="4" w:space="0"/>
                    <w:bottom w:val="single" w:color="auto" w:sz="4" w:space="0"/>
                    <w:right w:val="single" w:color="auto" w:sz="4" w:space="0"/>
                  </w:tcBorders>
                  <w:shd w:val="clear" w:color="auto" w:fill="auto"/>
                  <w:vAlign w:val="center"/>
                </w:tcPr>
                <w:p w14:paraId="5323F594">
                  <w:pPr>
                    <w:widowControl/>
                    <w:jc w:val="center"/>
                    <w:rPr>
                      <w:rFonts w:hint="eastAsia"/>
                      <w:color w:val="auto"/>
                      <w:kern w:val="0"/>
                      <w:szCs w:val="21"/>
                      <w:highlight w:val="none"/>
                    </w:rPr>
                  </w:pPr>
                  <w:r>
                    <w:rPr>
                      <w:rFonts w:hint="eastAsia"/>
                      <w:color w:val="auto"/>
                      <w:kern w:val="0"/>
                      <w:szCs w:val="21"/>
                      <w:highlight w:val="none"/>
                      <w:lang w:eastAsia="zh-CN"/>
                    </w:rPr>
                    <w:t>废机油</w:t>
                  </w:r>
                </w:p>
              </w:tc>
              <w:tc>
                <w:tcPr>
                  <w:tcW w:w="1524" w:type="pct"/>
                  <w:tcBorders>
                    <w:top w:val="single" w:color="auto" w:sz="4" w:space="0"/>
                    <w:left w:val="single" w:color="auto" w:sz="4" w:space="0"/>
                    <w:bottom w:val="single" w:color="auto" w:sz="4" w:space="0"/>
                    <w:right w:val="single" w:color="auto" w:sz="4" w:space="0"/>
                  </w:tcBorders>
                  <w:shd w:val="clear" w:color="auto" w:fill="auto"/>
                  <w:vAlign w:val="center"/>
                </w:tcPr>
                <w:p w14:paraId="7AC688ED">
                  <w:pPr>
                    <w:widowControl/>
                    <w:jc w:val="center"/>
                    <w:rPr>
                      <w:rFonts w:hint="default"/>
                      <w:color w:val="auto"/>
                      <w:szCs w:val="21"/>
                      <w:highlight w:val="none"/>
                      <w:lang w:val="en-US" w:eastAsia="zh-CN"/>
                    </w:rPr>
                  </w:pPr>
                  <w:r>
                    <w:rPr>
                      <w:rFonts w:hint="eastAsia"/>
                      <w:color w:val="auto"/>
                      <w:szCs w:val="21"/>
                      <w:highlight w:val="none"/>
                      <w:lang w:val="en-US" w:eastAsia="zh-CN"/>
                    </w:rPr>
                    <w:t>0.1</w:t>
                  </w:r>
                </w:p>
              </w:tc>
              <w:tc>
                <w:tcPr>
                  <w:tcW w:w="1161" w:type="pct"/>
                  <w:tcBorders>
                    <w:top w:val="single" w:color="auto" w:sz="4" w:space="0"/>
                    <w:left w:val="single" w:color="auto" w:sz="4" w:space="0"/>
                    <w:bottom w:val="single" w:color="auto" w:sz="4" w:space="0"/>
                    <w:right w:val="single" w:color="auto" w:sz="4" w:space="0"/>
                  </w:tcBorders>
                  <w:shd w:val="clear" w:color="auto" w:fill="auto"/>
                  <w:vAlign w:val="center"/>
                </w:tcPr>
                <w:p w14:paraId="1772E82F">
                  <w:pPr>
                    <w:widowControl/>
                    <w:jc w:val="center"/>
                    <w:rPr>
                      <w:rFonts w:hint="default" w:eastAsia="宋体"/>
                      <w:color w:val="auto"/>
                      <w:szCs w:val="21"/>
                      <w:highlight w:val="none"/>
                      <w:lang w:val="en-US" w:eastAsia="zh-CN"/>
                    </w:rPr>
                  </w:pPr>
                  <w:r>
                    <w:rPr>
                      <w:rFonts w:hint="eastAsia"/>
                      <w:color w:val="auto"/>
                      <w:szCs w:val="21"/>
                      <w:highlight w:val="none"/>
                      <w:lang w:val="en-US" w:eastAsia="zh-CN"/>
                    </w:rPr>
                    <w:t>2500</w:t>
                  </w:r>
                </w:p>
              </w:tc>
              <w:tc>
                <w:tcPr>
                  <w:tcW w:w="686" w:type="pct"/>
                  <w:tcBorders>
                    <w:top w:val="single" w:color="auto" w:sz="4" w:space="0"/>
                    <w:left w:val="single" w:color="auto" w:sz="4" w:space="0"/>
                    <w:bottom w:val="single" w:color="auto" w:sz="4" w:space="0"/>
                    <w:right w:val="single" w:color="auto" w:sz="4" w:space="0"/>
                  </w:tcBorders>
                  <w:shd w:val="clear" w:color="auto" w:fill="auto"/>
                  <w:vAlign w:val="center"/>
                </w:tcPr>
                <w:p w14:paraId="5E16F6FA">
                  <w:pPr>
                    <w:widowControl/>
                    <w:jc w:val="center"/>
                    <w:textAlignment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0.00004</w:t>
                  </w:r>
                </w:p>
              </w:tc>
            </w:tr>
            <w:tr w14:paraId="17E6B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3" w:type="pct"/>
                  <w:gridSpan w:val="4"/>
                  <w:tcBorders>
                    <w:top w:val="single" w:color="auto" w:sz="4" w:space="0"/>
                    <w:left w:val="single" w:color="auto" w:sz="4" w:space="0"/>
                    <w:bottom w:val="single" w:color="auto" w:sz="4" w:space="0"/>
                    <w:right w:val="single" w:color="auto" w:sz="4" w:space="0"/>
                  </w:tcBorders>
                  <w:shd w:val="clear" w:color="auto" w:fill="auto"/>
                  <w:vAlign w:val="center"/>
                </w:tcPr>
                <w:p w14:paraId="16E81C50">
                  <w:pPr>
                    <w:widowControl/>
                    <w:jc w:val="center"/>
                    <w:rPr>
                      <w:color w:val="auto"/>
                      <w:szCs w:val="21"/>
                      <w:highlight w:val="none"/>
                    </w:rPr>
                  </w:pPr>
                  <w:r>
                    <w:rPr>
                      <w:color w:val="auto"/>
                      <w:szCs w:val="21"/>
                      <w:highlight w:val="none"/>
                    </w:rPr>
                    <w:t>Q</w:t>
                  </w:r>
                </w:p>
              </w:tc>
              <w:tc>
                <w:tcPr>
                  <w:tcW w:w="686" w:type="pct"/>
                  <w:tcBorders>
                    <w:top w:val="single" w:color="auto" w:sz="4" w:space="0"/>
                    <w:left w:val="single" w:color="auto" w:sz="4" w:space="0"/>
                    <w:bottom w:val="single" w:color="auto" w:sz="4" w:space="0"/>
                    <w:right w:val="single" w:color="auto" w:sz="4" w:space="0"/>
                  </w:tcBorders>
                  <w:shd w:val="clear" w:color="auto" w:fill="auto"/>
                  <w:vAlign w:val="center"/>
                </w:tcPr>
                <w:p w14:paraId="46180B84">
                  <w:pPr>
                    <w:widowControl/>
                    <w:jc w:val="center"/>
                    <w:textAlignment w:val="center"/>
                    <w:rPr>
                      <w:rFonts w:hint="default" w:eastAsia="宋体"/>
                      <w:color w:val="auto"/>
                      <w:szCs w:val="21"/>
                      <w:highlight w:val="none"/>
                      <w:lang w:val="en-US" w:eastAsia="zh-CN"/>
                    </w:rPr>
                  </w:pPr>
                  <w:r>
                    <w:rPr>
                      <w:color w:val="auto"/>
                      <w:kern w:val="0"/>
                      <w:szCs w:val="21"/>
                      <w:highlight w:val="none"/>
                    </w:rPr>
                    <w:t>0.0</w:t>
                  </w:r>
                  <w:r>
                    <w:rPr>
                      <w:rFonts w:hint="eastAsia"/>
                      <w:color w:val="auto"/>
                      <w:kern w:val="0"/>
                      <w:szCs w:val="21"/>
                      <w:highlight w:val="none"/>
                      <w:lang w:val="en-US" w:eastAsia="zh-CN"/>
                    </w:rPr>
                    <w:t>0008</w:t>
                  </w:r>
                </w:p>
              </w:tc>
            </w:tr>
          </w:tbl>
          <w:p w14:paraId="378FD1F4">
            <w:pPr>
              <w:spacing w:line="360" w:lineRule="auto"/>
              <w:ind w:firstLine="480" w:firstLineChars="200"/>
              <w:rPr>
                <w:rFonts w:hint="eastAsia"/>
                <w:color w:val="auto"/>
                <w:sz w:val="24"/>
                <w:highlight w:val="none"/>
              </w:rPr>
            </w:pPr>
            <w:r>
              <w:rPr>
                <w:rFonts w:hint="eastAsia"/>
                <w:color w:val="auto"/>
                <w:sz w:val="24"/>
                <w:highlight w:val="none"/>
              </w:rPr>
              <w:t>①风险调查</w:t>
            </w:r>
          </w:p>
          <w:p w14:paraId="2DFEABC8">
            <w:pPr>
              <w:spacing w:line="360" w:lineRule="auto"/>
              <w:ind w:firstLine="480" w:firstLineChars="200"/>
              <w:rPr>
                <w:rFonts w:hint="eastAsia"/>
                <w:color w:val="auto"/>
                <w:sz w:val="24"/>
                <w:highlight w:val="none"/>
              </w:rPr>
            </w:pPr>
            <w:r>
              <w:rPr>
                <w:rFonts w:hint="eastAsia"/>
                <w:color w:val="auto"/>
                <w:sz w:val="24"/>
                <w:highlight w:val="none"/>
              </w:rPr>
              <w:t>根据《建设项目环境风险评价技术导则》(HJ 169-2018)附录B，项目涉及危险物质的原料为机油及废机油等。</w:t>
            </w:r>
          </w:p>
          <w:p w14:paraId="1E3D0C15">
            <w:pPr>
              <w:spacing w:line="360" w:lineRule="auto"/>
              <w:ind w:firstLine="480" w:firstLineChars="200"/>
              <w:rPr>
                <w:rFonts w:hint="eastAsia"/>
                <w:color w:val="auto"/>
                <w:sz w:val="24"/>
                <w:highlight w:val="none"/>
              </w:rPr>
            </w:pPr>
            <w:r>
              <w:rPr>
                <w:rFonts w:hint="eastAsia"/>
                <w:color w:val="auto"/>
                <w:sz w:val="24"/>
                <w:highlight w:val="none"/>
              </w:rPr>
              <w:t>②风险潜势判断</w:t>
            </w:r>
          </w:p>
          <w:p w14:paraId="59F1CE14">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根据《建设项目环境风险评价技术导则》（HJ169-2018）表B.1突发环境事件风险物质及临界量、表B.2其他危险物质临界量推荐值，《企业突发环境事件风险分级方法》（HJ941-2018）以及《危险化学品重大危险源辨识》（GB18218-2018），计算所涉及的每种危险物质在厂界内的最大存在总量与其附录B中对应临界量的比值Q。</w:t>
            </w:r>
          </w:p>
          <w:p w14:paraId="21BC4522">
            <w:pPr>
              <w:spacing w:line="360" w:lineRule="auto"/>
              <w:ind w:firstLine="480" w:firstLineChars="200"/>
              <w:rPr>
                <w:rFonts w:hint="eastAsia"/>
                <w:color w:val="auto"/>
                <w:sz w:val="24"/>
                <w:highlight w:val="none"/>
              </w:rPr>
            </w:pPr>
            <w:r>
              <w:rPr>
                <w:rFonts w:hint="default" w:ascii="Times New Roman" w:hAnsi="Times New Roman" w:eastAsia="宋体" w:cs="Times New Roman"/>
                <w:color w:val="auto"/>
                <w:kern w:val="0"/>
                <w:sz w:val="24"/>
                <w:szCs w:val="24"/>
                <w:highlight w:val="none"/>
              </w:rPr>
              <w:t>当只涉及一种危险物质时，计算该物质的总量与其临界量比值，即为Q；当存在多种危险物质时，则按照下式计算物质总量与其临界量比值Q：</w:t>
            </w:r>
          </w:p>
          <w:p w14:paraId="4FFA003B">
            <w:pPr>
              <w:spacing w:line="360" w:lineRule="auto"/>
              <w:ind w:firstLine="420" w:firstLineChars="200"/>
              <w:rPr>
                <w:rFonts w:hint="eastAsia"/>
                <w:color w:val="auto"/>
                <w:sz w:val="24"/>
                <w:highlight w:val="none"/>
              </w:rPr>
            </w:pPr>
            <w:r>
              <w:rPr>
                <w:color w:val="auto"/>
              </w:rPr>
              <w:drawing>
                <wp:inline distT="0" distB="0" distL="114300" distR="114300">
                  <wp:extent cx="5076825" cy="1590675"/>
                  <wp:effectExtent l="0" t="0" r="9525" b="9525"/>
                  <wp:docPr id="2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
                          <pic:cNvPicPr>
                            <a:picLocks noChangeAspect="1"/>
                          </pic:cNvPicPr>
                        </pic:nvPicPr>
                        <pic:blipFill>
                          <a:blip r:embed="rId13"/>
                          <a:stretch>
                            <a:fillRect/>
                          </a:stretch>
                        </pic:blipFill>
                        <pic:spPr>
                          <a:xfrm>
                            <a:off x="0" y="0"/>
                            <a:ext cx="5076825" cy="1590675"/>
                          </a:xfrm>
                          <a:prstGeom prst="rect">
                            <a:avLst/>
                          </a:prstGeom>
                          <a:noFill/>
                          <a:ln>
                            <a:noFill/>
                          </a:ln>
                        </pic:spPr>
                      </pic:pic>
                    </a:graphicData>
                  </a:graphic>
                </wp:inline>
              </w:drawing>
            </w:r>
          </w:p>
          <w:p w14:paraId="4118EE46">
            <w:pPr>
              <w:spacing w:line="360" w:lineRule="auto"/>
              <w:ind w:firstLine="480" w:firstLineChars="200"/>
              <w:rPr>
                <w:color w:val="auto"/>
                <w:sz w:val="24"/>
                <w:highlight w:val="none"/>
              </w:rPr>
            </w:pPr>
            <w:r>
              <w:rPr>
                <w:rFonts w:hint="eastAsia"/>
                <w:color w:val="auto"/>
                <w:sz w:val="24"/>
                <w:highlight w:val="none"/>
              </w:rPr>
              <w:t>由上表可知，本项目机油及废机油等在厂界内的最大存在总量与其在附录E中对应临界量的比值Q为0.0</w:t>
            </w:r>
            <w:r>
              <w:rPr>
                <w:rFonts w:hint="eastAsia"/>
                <w:color w:val="auto"/>
                <w:sz w:val="24"/>
                <w:highlight w:val="none"/>
                <w:lang w:val="en-US" w:eastAsia="zh-CN"/>
              </w:rPr>
              <w:t>0</w:t>
            </w:r>
            <w:r>
              <w:rPr>
                <w:rFonts w:hint="eastAsia"/>
                <w:color w:val="auto"/>
                <w:sz w:val="24"/>
                <w:highlight w:val="none"/>
              </w:rPr>
              <w:t>0</w:t>
            </w:r>
            <w:r>
              <w:rPr>
                <w:rFonts w:hint="eastAsia"/>
                <w:color w:val="auto"/>
                <w:sz w:val="24"/>
                <w:highlight w:val="none"/>
                <w:lang w:val="en-US" w:eastAsia="zh-CN"/>
              </w:rPr>
              <w:t>08</w:t>
            </w:r>
            <w:r>
              <w:rPr>
                <w:rFonts w:hint="eastAsia"/>
                <w:color w:val="auto"/>
                <w:sz w:val="24"/>
                <w:highlight w:val="none"/>
              </w:rPr>
              <w:t>&lt;1。项目存在的风险影响环境的途径为，因原辅材料或一般固废、危废泄漏、废气事故排放、明火，引起火灾，随消防水进入市政管网或周边水体，同时火灾产生的伴生/次生污染物会进入环境。</w:t>
            </w:r>
          </w:p>
          <w:p w14:paraId="7D624669">
            <w:pPr>
              <w:spacing w:line="360" w:lineRule="auto"/>
              <w:ind w:firstLine="480" w:firstLineChars="200"/>
              <w:rPr>
                <w:color w:val="auto"/>
                <w:sz w:val="24"/>
                <w:highlight w:val="none"/>
              </w:rPr>
            </w:pPr>
            <w:r>
              <w:rPr>
                <w:rFonts w:hint="eastAsia"/>
                <w:color w:val="auto"/>
                <w:sz w:val="24"/>
                <w:highlight w:val="none"/>
              </w:rPr>
              <w:t>泄漏预防措施</w:t>
            </w:r>
          </w:p>
          <w:p w14:paraId="198879A0">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rPr>
              <w:t>1）严格执行安全和消防规范。车间内合理布置各生产装置，预留足够的安全距离，以利于消防和疏散</w:t>
            </w:r>
          </w:p>
          <w:p w14:paraId="483E8B61">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2</w:t>
            </w:r>
            <w:r>
              <w:rPr>
                <w:rFonts w:hint="eastAsia"/>
                <w:color w:val="auto"/>
                <w:sz w:val="24"/>
                <w:highlight w:val="none"/>
              </w:rPr>
              <w:t>）严格按防火、防爆设计规范的要求进行设计，配置相应的灭火装置和设施，设置火灾报警系统，以便自动预警和及时组织灭火扑救。</w:t>
            </w:r>
          </w:p>
          <w:p w14:paraId="785E0A2A">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3</w:t>
            </w:r>
            <w:r>
              <w:rPr>
                <w:rFonts w:hint="eastAsia"/>
                <w:color w:val="auto"/>
                <w:sz w:val="24"/>
                <w:highlight w:val="none"/>
              </w:rPr>
              <w:t>）</w:t>
            </w:r>
            <w:r>
              <w:rPr>
                <w:rFonts w:hint="default" w:ascii="Times New Roman" w:hAnsi="Times New Roman" w:eastAsia="宋体" w:cs="Times New Roman"/>
                <w:color w:val="auto"/>
                <w:sz w:val="24"/>
                <w:highlight w:val="none"/>
              </w:rPr>
              <w:t>化学品由专人负责，化学品仓设置围堰，做好防风、防雨、防晒、防渗漏。禁止将不相容（相互反应）的危险废物在容器内混装。装载液体的容器内</w:t>
            </w:r>
            <w:r>
              <w:rPr>
                <w:rFonts w:hint="eastAsia" w:ascii="Times New Roman" w:hAnsi="Times New Roman" w:eastAsia="宋体" w:cs="Times New Roman"/>
                <w:color w:val="auto"/>
                <w:sz w:val="24"/>
                <w:highlight w:val="none"/>
                <w:lang w:eastAsia="zh-CN"/>
              </w:rPr>
              <w:t>预留</w:t>
            </w:r>
            <w:r>
              <w:rPr>
                <w:rFonts w:hint="default" w:ascii="Times New Roman" w:hAnsi="Times New Roman" w:eastAsia="宋体" w:cs="Times New Roman"/>
                <w:color w:val="auto"/>
                <w:sz w:val="24"/>
                <w:highlight w:val="none"/>
              </w:rPr>
              <w:t>足够空间，容器顶部与液体表面之间保留100mm以上的空间。装载危险废物的容器必须完好无损。</w:t>
            </w:r>
          </w:p>
          <w:p w14:paraId="173EA450">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4</w:t>
            </w:r>
            <w:r>
              <w:rPr>
                <w:rFonts w:hint="eastAsia"/>
                <w:color w:val="auto"/>
                <w:sz w:val="24"/>
                <w:highlight w:val="none"/>
              </w:rPr>
              <w:t>）危险废物贮存仓库按《危险废物贮存污染控制标准》（GB18597-20</w:t>
            </w:r>
            <w:r>
              <w:rPr>
                <w:rFonts w:hint="eastAsia"/>
                <w:color w:val="auto"/>
                <w:sz w:val="24"/>
                <w:highlight w:val="none"/>
                <w:lang w:val="en-US" w:eastAsia="zh-CN"/>
              </w:rPr>
              <w:t>23</w:t>
            </w:r>
            <w:r>
              <w:rPr>
                <w:rFonts w:hint="eastAsia"/>
                <w:color w:val="auto"/>
                <w:sz w:val="24"/>
                <w:highlight w:val="none"/>
              </w:rPr>
              <w:t>）及修改单的要求进行防渗，地面与裙角要用坚固、防渗的材料建造，</w:t>
            </w:r>
            <w:r>
              <w:rPr>
                <w:rFonts w:hint="eastAsia"/>
                <w:color w:val="auto"/>
                <w:sz w:val="24"/>
                <w:highlight w:val="none"/>
                <w:lang w:eastAsia="zh-CN"/>
              </w:rPr>
              <w:t>分类储存，底部设置托盘，危废仓库门口设置围堰</w:t>
            </w:r>
            <w:r>
              <w:rPr>
                <w:rFonts w:hint="eastAsia"/>
                <w:color w:val="auto"/>
                <w:sz w:val="24"/>
                <w:highlight w:val="none"/>
              </w:rPr>
              <w:t>，配备应急防护设施。</w:t>
            </w:r>
          </w:p>
          <w:p w14:paraId="287B17AE">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5</w:t>
            </w:r>
            <w:r>
              <w:rPr>
                <w:rFonts w:hint="eastAsia"/>
                <w:color w:val="auto"/>
                <w:sz w:val="24"/>
                <w:highlight w:val="none"/>
              </w:rPr>
              <w:t>）建立安全操作规程和管理制度，接受安全生产监督管理部门和消防部门的监督管理，杜绝泄漏、火灾和爆炸等安全事故；并在投入生产前制定和落实环境应急预案。</w:t>
            </w:r>
          </w:p>
          <w:p w14:paraId="1CF7042B">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6</w:t>
            </w:r>
            <w:r>
              <w:rPr>
                <w:rFonts w:hint="eastAsia"/>
                <w:color w:val="auto"/>
                <w:sz w:val="24"/>
                <w:highlight w:val="none"/>
              </w:rPr>
              <w:t>）项目废气经有效处理后达标排放，但本项目也要加强废气处理设施检修、维护，使大气污染物得到有效处理，确保各污染物达标排放。</w:t>
            </w:r>
          </w:p>
          <w:p w14:paraId="2A7D6324">
            <w:pPr>
              <w:spacing w:line="360" w:lineRule="auto"/>
              <w:ind w:firstLine="480" w:firstLineChars="200"/>
              <w:rPr>
                <w:rFonts w:hint="eastAsia"/>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7</w:t>
            </w:r>
            <w:r>
              <w:rPr>
                <w:rFonts w:hint="eastAsia"/>
                <w:color w:val="auto"/>
                <w:sz w:val="24"/>
                <w:highlight w:val="none"/>
              </w:rPr>
              <w:t>）项目生产车间内设置缓坡，发生突发环境事故时可将消防废水截留于生产车间内暂存。此外，项目于雨水总排口设置雨水闸阀，</w:t>
            </w:r>
            <w:r>
              <w:rPr>
                <w:rFonts w:hint="default" w:ascii="Times New Roman" w:hAnsi="Times New Roman" w:eastAsia="宋体" w:cs="Times New Roman"/>
                <w:color w:val="auto"/>
                <w:sz w:val="24"/>
                <w:highlight w:val="none"/>
                <w:lang w:eastAsia="zh-CN"/>
              </w:rPr>
              <w:t>并设置好消防废水收集桶</w:t>
            </w:r>
            <w:r>
              <w:rPr>
                <w:rFonts w:hint="default" w:ascii="Times New Roman" w:hAnsi="Times New Roman" w:eastAsia="宋体" w:cs="Times New Roman"/>
                <w:color w:val="auto"/>
                <w:sz w:val="24"/>
                <w:highlight w:val="none"/>
              </w:rPr>
              <w:t>，</w:t>
            </w:r>
            <w:r>
              <w:rPr>
                <w:rFonts w:hint="eastAsia"/>
                <w:color w:val="auto"/>
                <w:sz w:val="24"/>
                <w:highlight w:val="none"/>
              </w:rPr>
              <w:t>可有效防止消防废水等通过雨水管道排放至外环境。</w:t>
            </w:r>
          </w:p>
          <w:p w14:paraId="3DEE062D">
            <w:pPr>
              <w:spacing w:line="360" w:lineRule="auto"/>
              <w:ind w:firstLine="480" w:firstLineChars="200"/>
              <w:rPr>
                <w:color w:val="auto"/>
                <w:sz w:val="24"/>
                <w:highlight w:val="none"/>
              </w:rPr>
            </w:pPr>
            <w:r>
              <w:rPr>
                <w:rFonts w:hint="eastAsia"/>
                <w:color w:val="auto"/>
                <w:sz w:val="24"/>
                <w:highlight w:val="none"/>
                <w:lang w:eastAsia="zh-CN"/>
              </w:rPr>
              <w:t>（</w:t>
            </w:r>
            <w:r>
              <w:rPr>
                <w:rFonts w:hint="eastAsia"/>
                <w:color w:val="auto"/>
                <w:sz w:val="24"/>
                <w:highlight w:val="none"/>
                <w:lang w:val="en-US" w:eastAsia="zh-CN"/>
              </w:rPr>
              <w:t>8）</w:t>
            </w:r>
            <w:r>
              <w:rPr>
                <w:rFonts w:hint="eastAsia"/>
                <w:color w:val="auto"/>
                <w:sz w:val="24"/>
                <w:highlight w:val="none"/>
                <w:lang w:eastAsia="zh-CN"/>
              </w:rPr>
              <w:t>废水储存罐做好地面硬化、防渗漏，</w:t>
            </w:r>
            <w:r>
              <w:rPr>
                <w:rFonts w:hint="eastAsia"/>
                <w:color w:val="auto"/>
                <w:sz w:val="24"/>
                <w:highlight w:val="none"/>
                <w:lang w:val="en-US" w:eastAsia="zh-CN"/>
              </w:rPr>
              <w:t>四周设置</w:t>
            </w:r>
            <w:r>
              <w:rPr>
                <w:rFonts w:hint="eastAsia"/>
                <w:color w:val="auto"/>
                <w:sz w:val="24"/>
                <w:highlight w:val="none"/>
                <w:lang w:eastAsia="zh-CN"/>
              </w:rPr>
              <w:t>围堰措施，委托给有处理能力的废水处理机构处理。</w:t>
            </w:r>
          </w:p>
          <w:p w14:paraId="0F7B6AE1">
            <w:pPr>
              <w:spacing w:line="360" w:lineRule="auto"/>
              <w:ind w:firstLine="480" w:firstLineChars="200"/>
              <w:rPr>
                <w:rFonts w:hint="eastAsia" w:eastAsia="宋体"/>
                <w:bCs/>
                <w:color w:val="auto"/>
                <w:spacing w:val="-10"/>
                <w:szCs w:val="21"/>
                <w:highlight w:val="none"/>
                <w:lang w:val="en-US" w:eastAsia="zh-CN"/>
              </w:rPr>
            </w:pPr>
            <w:r>
              <w:rPr>
                <w:rFonts w:hint="eastAsia"/>
                <w:color w:val="auto"/>
                <w:sz w:val="24"/>
                <w:highlight w:val="none"/>
              </w:rPr>
              <w:t>项目在严格落实环评提出各项措施和要求的前提下，项目风险事故基本可在厂内解决，影响在可恢复范围内，风险可控</w:t>
            </w:r>
            <w:r>
              <w:rPr>
                <w:rFonts w:hint="eastAsia"/>
                <w:color w:val="auto"/>
                <w:sz w:val="24"/>
                <w:highlight w:val="none"/>
                <w:lang w:eastAsia="zh-CN"/>
              </w:rPr>
              <w:t>。</w:t>
            </w:r>
          </w:p>
        </w:tc>
      </w:tr>
    </w:tbl>
    <w:p w14:paraId="428FAC9E">
      <w:pPr>
        <w:adjustRightInd w:val="0"/>
        <w:snapToGrid w:val="0"/>
        <w:spacing w:line="360" w:lineRule="auto"/>
        <w:rPr>
          <w:b/>
          <w:color w:val="auto"/>
          <w:kern w:val="0"/>
          <w:sz w:val="28"/>
          <w:szCs w:val="28"/>
          <w:highlight w:val="none"/>
        </w:rPr>
        <w:sectPr>
          <w:pgSz w:w="11907" w:h="16840"/>
          <w:pgMar w:top="1701" w:right="1531" w:bottom="2127" w:left="1531" w:header="851" w:footer="851" w:gutter="0"/>
          <w:cols w:space="720" w:num="1"/>
          <w:docGrid w:linePitch="312" w:charSpace="0"/>
        </w:sectPr>
      </w:pPr>
    </w:p>
    <w:p w14:paraId="1643ECC4">
      <w:pPr>
        <w:pStyle w:val="6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五、</w:t>
      </w:r>
      <w:bookmarkStart w:id="9" w:name="_Hlk54167917"/>
      <w:r>
        <w:rPr>
          <w:rFonts w:ascii="Times New Roman" w:hAnsi="Times New Roman" w:eastAsia="黑体"/>
          <w:snapToGrid w:val="0"/>
          <w:color w:val="auto"/>
          <w:sz w:val="30"/>
          <w:szCs w:val="30"/>
          <w:highlight w:val="none"/>
        </w:rPr>
        <w:t>环境保护措施监督检查清单</w:t>
      </w:r>
      <w:bookmarkEnd w:id="9"/>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318"/>
        <w:gridCol w:w="513"/>
        <w:gridCol w:w="1022"/>
        <w:gridCol w:w="1160"/>
        <w:gridCol w:w="2188"/>
        <w:gridCol w:w="3859"/>
      </w:tblGrid>
      <w:tr w14:paraId="177C6C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tcBorders>
              <w:tl2br w:val="single" w:color="auto" w:sz="4" w:space="0"/>
            </w:tcBorders>
            <w:shd w:val="clear" w:color="auto" w:fill="auto"/>
          </w:tcPr>
          <w:p w14:paraId="09D6BD2E">
            <w:pPr>
              <w:adjustRightInd w:val="0"/>
              <w:snapToGrid w:val="0"/>
              <w:rPr>
                <w:color w:val="auto"/>
                <w:szCs w:val="21"/>
                <w:highlight w:val="none"/>
              </w:rPr>
            </w:pPr>
            <w:r>
              <w:rPr>
                <w:color w:val="auto"/>
                <w:szCs w:val="21"/>
                <w:highlight w:val="none"/>
              </w:rPr>
              <w:t>内容</w:t>
            </w:r>
          </w:p>
          <w:p w14:paraId="766DFB32">
            <w:pPr>
              <w:adjustRightInd w:val="0"/>
              <w:snapToGrid w:val="0"/>
              <w:rPr>
                <w:color w:val="auto"/>
                <w:szCs w:val="21"/>
                <w:highlight w:val="none"/>
              </w:rPr>
            </w:pPr>
          </w:p>
          <w:p w14:paraId="7B656B21">
            <w:pPr>
              <w:adjustRightInd w:val="0"/>
              <w:snapToGrid w:val="0"/>
              <w:rPr>
                <w:color w:val="auto"/>
                <w:szCs w:val="21"/>
                <w:highlight w:val="none"/>
              </w:rPr>
            </w:pPr>
          </w:p>
          <w:p w14:paraId="1E6610CD">
            <w:pPr>
              <w:adjustRightInd w:val="0"/>
              <w:snapToGrid w:val="0"/>
              <w:rPr>
                <w:color w:val="auto"/>
                <w:szCs w:val="21"/>
                <w:highlight w:val="none"/>
              </w:rPr>
            </w:pPr>
            <w:r>
              <w:rPr>
                <w:color w:val="auto"/>
                <w:szCs w:val="21"/>
                <w:highlight w:val="none"/>
              </w:rPr>
              <w:t>要素</w:t>
            </w:r>
          </w:p>
        </w:tc>
        <w:tc>
          <w:tcPr>
            <w:tcW w:w="1022" w:type="dxa"/>
            <w:shd w:val="clear" w:color="auto" w:fill="auto"/>
            <w:vAlign w:val="center"/>
          </w:tcPr>
          <w:p w14:paraId="3E89D63B">
            <w:pPr>
              <w:adjustRightInd w:val="0"/>
              <w:snapToGrid w:val="0"/>
              <w:jc w:val="center"/>
              <w:rPr>
                <w:color w:val="auto"/>
                <w:szCs w:val="21"/>
                <w:highlight w:val="none"/>
              </w:rPr>
            </w:pPr>
            <w:r>
              <w:rPr>
                <w:color w:val="auto"/>
                <w:szCs w:val="21"/>
                <w:highlight w:val="none"/>
              </w:rPr>
              <w:t>排放口</w:t>
            </w:r>
            <w:r>
              <w:rPr>
                <w:rFonts w:hint="eastAsia"/>
                <w:color w:val="auto"/>
                <w:szCs w:val="21"/>
                <w:highlight w:val="none"/>
                <w:lang w:eastAsia="zh-CN"/>
              </w:rPr>
              <w:t>（</w:t>
            </w:r>
            <w:r>
              <w:rPr>
                <w:color w:val="auto"/>
                <w:szCs w:val="21"/>
                <w:highlight w:val="none"/>
              </w:rPr>
              <w:t>编号、名称</w:t>
            </w:r>
            <w:r>
              <w:rPr>
                <w:rFonts w:hint="eastAsia"/>
                <w:color w:val="auto"/>
                <w:szCs w:val="21"/>
                <w:highlight w:val="none"/>
                <w:lang w:eastAsia="zh-CN"/>
              </w:rPr>
              <w:t>）</w:t>
            </w:r>
            <w:r>
              <w:rPr>
                <w:color w:val="auto"/>
                <w:szCs w:val="21"/>
                <w:highlight w:val="none"/>
              </w:rPr>
              <w:t>/污染源</w:t>
            </w:r>
          </w:p>
        </w:tc>
        <w:tc>
          <w:tcPr>
            <w:tcW w:w="1160" w:type="dxa"/>
            <w:shd w:val="clear" w:color="auto" w:fill="auto"/>
            <w:vAlign w:val="center"/>
          </w:tcPr>
          <w:p w14:paraId="62D6BCA7">
            <w:pPr>
              <w:adjustRightInd w:val="0"/>
              <w:snapToGrid w:val="0"/>
              <w:jc w:val="center"/>
              <w:rPr>
                <w:color w:val="auto"/>
                <w:szCs w:val="21"/>
                <w:highlight w:val="none"/>
              </w:rPr>
            </w:pPr>
            <w:r>
              <w:rPr>
                <w:color w:val="auto"/>
                <w:szCs w:val="21"/>
                <w:highlight w:val="none"/>
              </w:rPr>
              <w:t>污染物项目</w:t>
            </w:r>
          </w:p>
        </w:tc>
        <w:tc>
          <w:tcPr>
            <w:tcW w:w="2188" w:type="dxa"/>
            <w:shd w:val="clear" w:color="auto" w:fill="auto"/>
            <w:vAlign w:val="center"/>
          </w:tcPr>
          <w:p w14:paraId="28827CE2">
            <w:pPr>
              <w:adjustRightInd w:val="0"/>
              <w:snapToGrid w:val="0"/>
              <w:jc w:val="center"/>
              <w:rPr>
                <w:color w:val="auto"/>
                <w:szCs w:val="21"/>
                <w:highlight w:val="none"/>
              </w:rPr>
            </w:pPr>
            <w:r>
              <w:rPr>
                <w:color w:val="auto"/>
                <w:szCs w:val="21"/>
                <w:highlight w:val="none"/>
              </w:rPr>
              <w:t>环境保护措施</w:t>
            </w:r>
          </w:p>
        </w:tc>
        <w:tc>
          <w:tcPr>
            <w:tcW w:w="3859" w:type="dxa"/>
            <w:shd w:val="clear" w:color="auto" w:fill="auto"/>
            <w:vAlign w:val="center"/>
          </w:tcPr>
          <w:p w14:paraId="6F52D51B">
            <w:pPr>
              <w:adjustRightInd w:val="0"/>
              <w:snapToGrid w:val="0"/>
              <w:jc w:val="center"/>
              <w:rPr>
                <w:color w:val="auto"/>
                <w:szCs w:val="21"/>
                <w:highlight w:val="none"/>
              </w:rPr>
            </w:pPr>
            <w:r>
              <w:rPr>
                <w:color w:val="auto"/>
                <w:szCs w:val="21"/>
                <w:highlight w:val="none"/>
              </w:rPr>
              <w:t>执行标准</w:t>
            </w:r>
          </w:p>
        </w:tc>
      </w:tr>
      <w:tr w14:paraId="728693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restart"/>
            <w:shd w:val="clear" w:color="auto" w:fill="auto"/>
            <w:vAlign w:val="center"/>
          </w:tcPr>
          <w:p w14:paraId="06A0ABFA">
            <w:pPr>
              <w:adjustRightInd w:val="0"/>
              <w:snapToGrid w:val="0"/>
              <w:jc w:val="center"/>
              <w:rPr>
                <w:color w:val="auto"/>
                <w:szCs w:val="21"/>
                <w:highlight w:val="none"/>
              </w:rPr>
            </w:pPr>
            <w:r>
              <w:rPr>
                <w:color w:val="auto"/>
                <w:szCs w:val="21"/>
                <w:highlight w:val="none"/>
              </w:rPr>
              <w:t>大气环境</w:t>
            </w:r>
          </w:p>
        </w:tc>
        <w:tc>
          <w:tcPr>
            <w:tcW w:w="1022" w:type="dxa"/>
            <w:vMerge w:val="restart"/>
            <w:shd w:val="clear" w:color="auto" w:fill="auto"/>
            <w:vAlign w:val="center"/>
          </w:tcPr>
          <w:p w14:paraId="1FAAE9A7">
            <w:pPr>
              <w:adjustRightInd w:val="0"/>
              <w:snapToGrid w:val="0"/>
              <w:jc w:val="center"/>
              <w:rPr>
                <w:color w:val="auto"/>
                <w:szCs w:val="21"/>
                <w:highlight w:val="none"/>
              </w:rPr>
            </w:pPr>
            <w:r>
              <w:rPr>
                <w:rFonts w:hint="eastAsia"/>
                <w:color w:val="auto"/>
                <w:lang w:val="en-US"/>
              </w:rPr>
              <w:t>烘料、注塑工序废气</w:t>
            </w:r>
            <w:r>
              <w:rPr>
                <w:color w:val="auto"/>
                <w:szCs w:val="21"/>
                <w:highlight w:val="none"/>
              </w:rPr>
              <w:t>G1</w:t>
            </w:r>
          </w:p>
        </w:tc>
        <w:tc>
          <w:tcPr>
            <w:tcW w:w="1160" w:type="dxa"/>
            <w:shd w:val="clear" w:color="auto" w:fill="auto"/>
            <w:vAlign w:val="center"/>
          </w:tcPr>
          <w:p w14:paraId="7CCC2109">
            <w:pPr>
              <w:pStyle w:val="105"/>
              <w:rPr>
                <w:rFonts w:ascii="Times New Roman" w:hAnsi="Times New Roman" w:eastAsia="宋体" w:cs="Times New Roman"/>
                <w:color w:val="auto"/>
                <w:kern w:val="2"/>
                <w:sz w:val="21"/>
                <w:szCs w:val="21"/>
                <w:lang w:val="en-US" w:eastAsia="zh-CN" w:bidi="ar-SA"/>
              </w:rPr>
            </w:pPr>
            <w:r>
              <w:rPr>
                <w:color w:val="auto"/>
                <w:lang w:val="en-US"/>
              </w:rPr>
              <w:t>非甲烷总烃</w:t>
            </w:r>
          </w:p>
        </w:tc>
        <w:tc>
          <w:tcPr>
            <w:tcW w:w="2188" w:type="dxa"/>
            <w:vMerge w:val="restart"/>
            <w:shd w:val="clear" w:color="auto" w:fill="auto"/>
            <w:vAlign w:val="center"/>
          </w:tcPr>
          <w:p w14:paraId="2720244B">
            <w:pPr>
              <w:adjustRightInd w:val="0"/>
              <w:snapToGrid w:val="0"/>
              <w:jc w:val="center"/>
              <w:rPr>
                <w:color w:val="auto"/>
                <w:szCs w:val="21"/>
                <w:highlight w:val="none"/>
              </w:rPr>
            </w:pPr>
            <w:r>
              <w:rPr>
                <w:rFonts w:hint="eastAsia"/>
                <w:color w:val="auto"/>
                <w:szCs w:val="21"/>
                <w:highlight w:val="none"/>
                <w:lang w:val="en-US" w:eastAsia="zh-CN"/>
              </w:rPr>
              <w:t>外部集气罩</w:t>
            </w:r>
            <w:r>
              <w:rPr>
                <w:rFonts w:hint="eastAsia"/>
                <w:color w:val="auto"/>
                <w:szCs w:val="21"/>
                <w:highlight w:val="none"/>
              </w:rPr>
              <w:t>收集加</w:t>
            </w:r>
            <w:r>
              <w:rPr>
                <w:rFonts w:hint="eastAsia"/>
                <w:color w:val="auto"/>
                <w:szCs w:val="21"/>
                <w:highlight w:val="none"/>
                <w:lang w:val="en-US" w:eastAsia="zh-CN"/>
              </w:rPr>
              <w:t>二级</w:t>
            </w:r>
            <w:r>
              <w:rPr>
                <w:color w:val="auto"/>
                <w:szCs w:val="21"/>
                <w:highlight w:val="none"/>
              </w:rPr>
              <w:t>活性炭装置吸附后由</w:t>
            </w:r>
            <w:r>
              <w:rPr>
                <w:rFonts w:hint="eastAsia"/>
                <w:color w:val="auto"/>
                <w:szCs w:val="21"/>
                <w:highlight w:val="none"/>
                <w:lang w:val="en-US" w:eastAsia="zh-CN"/>
              </w:rPr>
              <w:t>40</w:t>
            </w:r>
            <w:r>
              <w:rPr>
                <w:color w:val="auto"/>
                <w:szCs w:val="21"/>
                <w:highlight w:val="none"/>
              </w:rPr>
              <w:t>米高排气筒排放</w:t>
            </w:r>
          </w:p>
        </w:tc>
        <w:tc>
          <w:tcPr>
            <w:tcW w:w="3859" w:type="dxa"/>
            <w:vMerge w:val="restart"/>
            <w:shd w:val="clear" w:color="auto" w:fill="auto"/>
            <w:vAlign w:val="center"/>
          </w:tcPr>
          <w:p w14:paraId="6E1C1340">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color w:val="000000"/>
                <w:highlight w:val="none"/>
              </w:rPr>
              <w:t>《合成树脂工业污染物排放标准》（GB31572-2015，含2024年修改单）表4大气污染物排放限值</w:t>
            </w:r>
          </w:p>
        </w:tc>
      </w:tr>
      <w:tr w14:paraId="3D54B5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4D52E90E">
            <w:pPr>
              <w:adjustRightInd w:val="0"/>
              <w:snapToGrid w:val="0"/>
              <w:jc w:val="center"/>
              <w:rPr>
                <w:color w:val="auto"/>
                <w:szCs w:val="21"/>
                <w:highlight w:val="none"/>
              </w:rPr>
            </w:pPr>
          </w:p>
        </w:tc>
        <w:tc>
          <w:tcPr>
            <w:tcW w:w="1022" w:type="dxa"/>
            <w:vMerge w:val="continue"/>
            <w:shd w:val="clear" w:color="auto" w:fill="auto"/>
            <w:vAlign w:val="center"/>
          </w:tcPr>
          <w:p w14:paraId="5D3E9261">
            <w:pPr>
              <w:adjustRightInd w:val="0"/>
              <w:snapToGrid w:val="0"/>
              <w:jc w:val="center"/>
              <w:rPr>
                <w:rFonts w:hint="eastAsia"/>
                <w:color w:val="auto"/>
                <w:highlight w:val="none"/>
                <w:lang w:val="en-US" w:eastAsia="zh-CN"/>
              </w:rPr>
            </w:pPr>
          </w:p>
        </w:tc>
        <w:tc>
          <w:tcPr>
            <w:tcW w:w="1160" w:type="dxa"/>
            <w:shd w:val="clear" w:color="auto" w:fill="auto"/>
            <w:vAlign w:val="center"/>
          </w:tcPr>
          <w:p w14:paraId="7684B99E">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二氯甲烷</w:t>
            </w:r>
          </w:p>
        </w:tc>
        <w:tc>
          <w:tcPr>
            <w:tcW w:w="2188" w:type="dxa"/>
            <w:vMerge w:val="continue"/>
            <w:shd w:val="clear" w:color="auto" w:fill="auto"/>
            <w:vAlign w:val="center"/>
          </w:tcPr>
          <w:p w14:paraId="723964A1">
            <w:pPr>
              <w:adjustRightInd w:val="0"/>
              <w:snapToGrid w:val="0"/>
              <w:jc w:val="center"/>
              <w:rPr>
                <w:rFonts w:hint="eastAsia"/>
                <w:color w:val="auto"/>
                <w:szCs w:val="21"/>
                <w:highlight w:val="none"/>
                <w:lang w:val="en-US" w:eastAsia="zh-CN"/>
              </w:rPr>
            </w:pPr>
          </w:p>
        </w:tc>
        <w:tc>
          <w:tcPr>
            <w:tcW w:w="3859" w:type="dxa"/>
            <w:vMerge w:val="continue"/>
            <w:tcBorders/>
            <w:shd w:val="clear" w:color="auto" w:fill="auto"/>
            <w:vAlign w:val="center"/>
          </w:tcPr>
          <w:p w14:paraId="149C4C5C">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b w:val="0"/>
                <w:color w:val="auto"/>
                <w:kern w:val="2"/>
                <w:sz w:val="21"/>
                <w:szCs w:val="21"/>
                <w:highlight w:val="none"/>
                <w:lang w:val="en-US" w:eastAsia="zh-CN" w:bidi="ar-SA"/>
              </w:rPr>
            </w:pPr>
          </w:p>
        </w:tc>
      </w:tr>
      <w:tr w14:paraId="26F3A2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12AA0EB1">
            <w:pPr>
              <w:adjustRightInd w:val="0"/>
              <w:snapToGrid w:val="0"/>
              <w:jc w:val="center"/>
              <w:rPr>
                <w:color w:val="auto"/>
                <w:szCs w:val="21"/>
                <w:highlight w:val="none"/>
              </w:rPr>
            </w:pPr>
          </w:p>
        </w:tc>
        <w:tc>
          <w:tcPr>
            <w:tcW w:w="1022" w:type="dxa"/>
            <w:vMerge w:val="continue"/>
            <w:shd w:val="clear" w:color="auto" w:fill="auto"/>
            <w:vAlign w:val="center"/>
          </w:tcPr>
          <w:p w14:paraId="51B93F4B">
            <w:pPr>
              <w:adjustRightInd w:val="0"/>
              <w:snapToGrid w:val="0"/>
              <w:jc w:val="center"/>
              <w:rPr>
                <w:rFonts w:hint="eastAsia"/>
                <w:color w:val="auto"/>
                <w:highlight w:val="none"/>
                <w:lang w:val="en-US" w:eastAsia="zh-CN"/>
              </w:rPr>
            </w:pPr>
          </w:p>
        </w:tc>
        <w:tc>
          <w:tcPr>
            <w:tcW w:w="1160" w:type="dxa"/>
            <w:shd w:val="clear" w:color="auto" w:fill="auto"/>
            <w:vAlign w:val="center"/>
          </w:tcPr>
          <w:p w14:paraId="000F3603">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酚类</w:t>
            </w:r>
          </w:p>
        </w:tc>
        <w:tc>
          <w:tcPr>
            <w:tcW w:w="2188" w:type="dxa"/>
            <w:vMerge w:val="continue"/>
            <w:shd w:val="clear" w:color="auto" w:fill="auto"/>
            <w:vAlign w:val="center"/>
          </w:tcPr>
          <w:p w14:paraId="7CA48810">
            <w:pPr>
              <w:adjustRightInd w:val="0"/>
              <w:snapToGrid w:val="0"/>
              <w:jc w:val="center"/>
              <w:rPr>
                <w:rFonts w:hint="eastAsia"/>
                <w:color w:val="auto"/>
                <w:szCs w:val="21"/>
                <w:highlight w:val="none"/>
                <w:lang w:val="en-US" w:eastAsia="zh-CN"/>
              </w:rPr>
            </w:pPr>
          </w:p>
        </w:tc>
        <w:tc>
          <w:tcPr>
            <w:tcW w:w="3859" w:type="dxa"/>
            <w:vMerge w:val="continue"/>
            <w:tcBorders/>
            <w:shd w:val="clear" w:color="auto" w:fill="auto"/>
            <w:vAlign w:val="center"/>
          </w:tcPr>
          <w:p w14:paraId="037558BD">
            <w:pPr>
              <w:pStyle w:val="105"/>
              <w:keepNext w:val="0"/>
              <w:keepLines w:val="0"/>
              <w:suppressLineNumbers w:val="0"/>
              <w:spacing w:before="0" w:beforeAutospacing="0" w:after="0" w:afterAutospacing="0"/>
              <w:ind w:left="0" w:leftChars="0" w:right="0" w:rightChars="0"/>
              <w:rPr>
                <w:rFonts w:hint="eastAsia" w:cs="Times New Roman"/>
                <w:color w:val="auto"/>
                <w:sz w:val="21"/>
                <w:szCs w:val="21"/>
                <w:highlight w:val="none"/>
                <w:lang w:val="en-US" w:eastAsia="zh-CN"/>
              </w:rPr>
            </w:pPr>
          </w:p>
        </w:tc>
      </w:tr>
      <w:tr w14:paraId="2258A1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PrEx>
        <w:trPr>
          <w:trHeight w:val="397" w:hRule="atLeast"/>
          <w:jc w:val="center"/>
        </w:trPr>
        <w:tc>
          <w:tcPr>
            <w:tcW w:w="831" w:type="dxa"/>
            <w:gridSpan w:val="2"/>
            <w:vMerge w:val="continue"/>
            <w:shd w:val="clear" w:color="auto" w:fill="auto"/>
            <w:vAlign w:val="center"/>
          </w:tcPr>
          <w:p w14:paraId="01527130">
            <w:pPr>
              <w:adjustRightInd w:val="0"/>
              <w:snapToGrid w:val="0"/>
              <w:jc w:val="center"/>
              <w:rPr>
                <w:color w:val="auto"/>
                <w:szCs w:val="21"/>
                <w:highlight w:val="none"/>
              </w:rPr>
            </w:pPr>
          </w:p>
        </w:tc>
        <w:tc>
          <w:tcPr>
            <w:tcW w:w="1022" w:type="dxa"/>
            <w:vMerge w:val="continue"/>
            <w:shd w:val="clear" w:color="auto" w:fill="auto"/>
            <w:vAlign w:val="center"/>
          </w:tcPr>
          <w:p w14:paraId="3FA43F1D">
            <w:pPr>
              <w:adjustRightInd w:val="0"/>
              <w:snapToGrid w:val="0"/>
              <w:jc w:val="center"/>
              <w:rPr>
                <w:rFonts w:hint="eastAsia"/>
                <w:color w:val="auto"/>
                <w:highlight w:val="none"/>
                <w:lang w:val="en-US" w:eastAsia="zh-CN"/>
              </w:rPr>
            </w:pPr>
          </w:p>
        </w:tc>
        <w:tc>
          <w:tcPr>
            <w:tcW w:w="1160" w:type="dxa"/>
            <w:shd w:val="clear" w:color="auto" w:fill="auto"/>
            <w:vAlign w:val="center"/>
          </w:tcPr>
          <w:p w14:paraId="671B2720">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氨</w:t>
            </w:r>
          </w:p>
        </w:tc>
        <w:tc>
          <w:tcPr>
            <w:tcW w:w="2188" w:type="dxa"/>
            <w:vMerge w:val="continue"/>
            <w:shd w:val="clear" w:color="auto" w:fill="auto"/>
            <w:vAlign w:val="center"/>
          </w:tcPr>
          <w:p w14:paraId="32807CC8">
            <w:pPr>
              <w:adjustRightInd w:val="0"/>
              <w:snapToGrid w:val="0"/>
              <w:jc w:val="center"/>
              <w:rPr>
                <w:rFonts w:hint="eastAsia"/>
                <w:color w:val="auto"/>
                <w:szCs w:val="21"/>
                <w:highlight w:val="none"/>
                <w:lang w:val="en-US" w:eastAsia="zh-CN"/>
              </w:rPr>
            </w:pPr>
          </w:p>
        </w:tc>
        <w:tc>
          <w:tcPr>
            <w:tcW w:w="3859" w:type="dxa"/>
            <w:vMerge w:val="continue"/>
            <w:tcBorders/>
            <w:shd w:val="clear" w:color="auto" w:fill="auto"/>
            <w:vAlign w:val="center"/>
          </w:tcPr>
          <w:p w14:paraId="52687D13">
            <w:pPr>
              <w:pStyle w:val="105"/>
              <w:keepNext w:val="0"/>
              <w:keepLines w:val="0"/>
              <w:suppressLineNumbers w:val="0"/>
              <w:spacing w:before="0" w:beforeAutospacing="0" w:after="0" w:afterAutospacing="0"/>
              <w:ind w:left="0" w:leftChars="0" w:right="0" w:rightChars="0"/>
              <w:rPr>
                <w:rFonts w:hint="eastAsia" w:cs="Times New Roman"/>
                <w:color w:val="auto"/>
                <w:sz w:val="21"/>
                <w:szCs w:val="21"/>
                <w:highlight w:val="none"/>
                <w:lang w:val="en-US" w:eastAsia="zh-CN"/>
              </w:rPr>
            </w:pPr>
          </w:p>
        </w:tc>
      </w:tr>
      <w:tr w14:paraId="538AA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5" w:hRule="atLeast"/>
          <w:jc w:val="center"/>
        </w:trPr>
        <w:tc>
          <w:tcPr>
            <w:tcW w:w="831" w:type="dxa"/>
            <w:gridSpan w:val="2"/>
            <w:vMerge w:val="continue"/>
            <w:shd w:val="clear" w:color="auto" w:fill="auto"/>
            <w:vAlign w:val="center"/>
          </w:tcPr>
          <w:p w14:paraId="14C0A1A5">
            <w:pPr>
              <w:adjustRightInd w:val="0"/>
              <w:snapToGrid w:val="0"/>
              <w:jc w:val="center"/>
              <w:rPr>
                <w:color w:val="auto"/>
                <w:szCs w:val="21"/>
                <w:highlight w:val="none"/>
              </w:rPr>
            </w:pPr>
          </w:p>
        </w:tc>
        <w:tc>
          <w:tcPr>
            <w:tcW w:w="1022" w:type="dxa"/>
            <w:vMerge w:val="continue"/>
            <w:shd w:val="clear" w:color="auto" w:fill="auto"/>
            <w:vAlign w:val="center"/>
          </w:tcPr>
          <w:p w14:paraId="60781A4F">
            <w:pPr>
              <w:adjustRightInd w:val="0"/>
              <w:snapToGrid w:val="0"/>
              <w:jc w:val="center"/>
              <w:rPr>
                <w:rFonts w:hint="eastAsia"/>
                <w:color w:val="auto"/>
                <w:szCs w:val="21"/>
                <w:highlight w:val="none"/>
              </w:rPr>
            </w:pPr>
          </w:p>
        </w:tc>
        <w:tc>
          <w:tcPr>
            <w:tcW w:w="1160" w:type="dxa"/>
            <w:shd w:val="clear" w:color="auto" w:fill="auto"/>
            <w:vAlign w:val="center"/>
          </w:tcPr>
          <w:p w14:paraId="387006FF">
            <w:pPr>
              <w:autoSpaceDE w:val="0"/>
              <w:autoSpaceDN w:val="0"/>
              <w:adjustRightInd w:val="0"/>
              <w:jc w:val="center"/>
              <w:rPr>
                <w:rFonts w:hint="eastAsia" w:ascii="Times New Roman" w:hAnsi="Times New Roman" w:eastAsia="宋体" w:cs="Times New Roman"/>
                <w:color w:val="auto"/>
                <w:kern w:val="0"/>
                <w:sz w:val="21"/>
                <w:szCs w:val="21"/>
                <w:highlight w:val="none"/>
                <w:lang w:val="en-US" w:eastAsia="zh-CN" w:bidi="en-AU"/>
              </w:rPr>
            </w:pPr>
            <w:r>
              <w:rPr>
                <w:rFonts w:hint="eastAsia" w:ascii="Times New Roman" w:hAnsi="Times New Roman" w:eastAsia="宋体" w:cs="Times New Roman"/>
                <w:color w:val="auto"/>
                <w:kern w:val="0"/>
                <w:szCs w:val="21"/>
                <w:highlight w:val="none"/>
                <w:lang w:val="en-US" w:eastAsia="zh-CN" w:bidi="en-AU"/>
              </w:rPr>
              <w:t>臭气浓度</w:t>
            </w:r>
          </w:p>
        </w:tc>
        <w:tc>
          <w:tcPr>
            <w:tcW w:w="2188" w:type="dxa"/>
            <w:vMerge w:val="continue"/>
            <w:shd w:val="clear" w:color="auto" w:fill="auto"/>
            <w:vAlign w:val="center"/>
          </w:tcPr>
          <w:p w14:paraId="65F9AAF8">
            <w:pPr>
              <w:adjustRightInd w:val="0"/>
              <w:snapToGrid w:val="0"/>
              <w:jc w:val="center"/>
              <w:rPr>
                <w:rFonts w:hint="eastAsia"/>
                <w:color w:val="auto"/>
                <w:szCs w:val="21"/>
                <w:highlight w:val="none"/>
              </w:rPr>
            </w:pPr>
          </w:p>
        </w:tc>
        <w:tc>
          <w:tcPr>
            <w:tcW w:w="3859" w:type="dxa"/>
            <w:shd w:val="clear" w:color="auto" w:fill="auto"/>
            <w:vAlign w:val="center"/>
          </w:tcPr>
          <w:p w14:paraId="1D0371C0">
            <w:pPr>
              <w:autoSpaceDE w:val="0"/>
              <w:autoSpaceDN w:val="0"/>
              <w:adjustRightInd w:val="0"/>
              <w:jc w:val="center"/>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《恶臭污染物排放标准》（GB14554-93）表2排放标准</w:t>
            </w:r>
          </w:p>
        </w:tc>
      </w:tr>
      <w:tr w14:paraId="55F52D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7EBFF9A2">
            <w:pPr>
              <w:adjustRightInd w:val="0"/>
              <w:snapToGrid w:val="0"/>
              <w:jc w:val="center"/>
              <w:rPr>
                <w:color w:val="auto"/>
                <w:szCs w:val="21"/>
                <w:highlight w:val="none"/>
              </w:rPr>
            </w:pPr>
          </w:p>
        </w:tc>
        <w:tc>
          <w:tcPr>
            <w:tcW w:w="1022" w:type="dxa"/>
            <w:vMerge w:val="restart"/>
            <w:shd w:val="clear" w:color="auto" w:fill="auto"/>
            <w:vAlign w:val="center"/>
          </w:tcPr>
          <w:p w14:paraId="44978501">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厂界无组织排放废气</w:t>
            </w:r>
          </w:p>
        </w:tc>
        <w:tc>
          <w:tcPr>
            <w:tcW w:w="1160" w:type="dxa"/>
            <w:shd w:val="clear" w:color="auto" w:fill="auto"/>
            <w:vAlign w:val="center"/>
          </w:tcPr>
          <w:p w14:paraId="4F275C25">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r>
              <w:rPr>
                <w:rFonts w:hint="eastAsia" w:ascii="Times New Roman" w:hAnsi="Times New Roman" w:eastAsia="宋体" w:cs="Times New Roman"/>
                <w:color w:val="auto"/>
                <w:sz w:val="21"/>
                <w:szCs w:val="21"/>
                <w:highlight w:val="none"/>
                <w:lang w:val="en-US" w:eastAsia="zh-CN"/>
              </w:rPr>
              <w:t>非甲烷总烃</w:t>
            </w:r>
          </w:p>
        </w:tc>
        <w:tc>
          <w:tcPr>
            <w:tcW w:w="2188" w:type="dxa"/>
            <w:vMerge w:val="restart"/>
            <w:shd w:val="clear" w:color="auto" w:fill="auto"/>
            <w:vAlign w:val="center"/>
          </w:tcPr>
          <w:p w14:paraId="1DCFB7C7">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3859" w:type="dxa"/>
            <w:vMerge w:val="restart"/>
            <w:shd w:val="clear" w:color="auto" w:fill="auto"/>
            <w:vAlign w:val="center"/>
          </w:tcPr>
          <w:p w14:paraId="1276092C">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zh-CN" w:eastAsia="zh-CN" w:bidi="ar-SA"/>
              </w:rPr>
            </w:pPr>
            <w:r>
              <w:rPr>
                <w:color w:val="auto"/>
              </w:rPr>
              <w:t>《合成树脂工业污染物排放标准》（GB31572-2015）表9企业边界大气污染物浓度限值和广东省地方标准《大气污染物排放限值》(DB44/27－2001)（第二时段）无组织排放监控浓度限值较严值</w:t>
            </w:r>
          </w:p>
        </w:tc>
      </w:tr>
      <w:tr w14:paraId="5385B9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55B9DE01">
            <w:pPr>
              <w:adjustRightInd w:val="0"/>
              <w:snapToGrid w:val="0"/>
              <w:jc w:val="center"/>
              <w:rPr>
                <w:color w:val="auto"/>
                <w:szCs w:val="21"/>
                <w:highlight w:val="none"/>
              </w:rPr>
            </w:pPr>
          </w:p>
        </w:tc>
        <w:tc>
          <w:tcPr>
            <w:tcW w:w="1022" w:type="dxa"/>
            <w:vMerge w:val="continue"/>
            <w:shd w:val="clear" w:color="auto" w:fill="auto"/>
            <w:vAlign w:val="center"/>
          </w:tcPr>
          <w:p w14:paraId="6EE66182">
            <w:pPr>
              <w:adjustRightInd w:val="0"/>
              <w:snapToGrid w:val="0"/>
              <w:jc w:val="center"/>
              <w:rPr>
                <w:rFonts w:hint="eastAsia"/>
                <w:color w:val="auto"/>
                <w:szCs w:val="21"/>
                <w:highlight w:val="none"/>
                <w:lang w:eastAsia="zh-CN"/>
              </w:rPr>
            </w:pPr>
          </w:p>
        </w:tc>
        <w:tc>
          <w:tcPr>
            <w:tcW w:w="1160" w:type="dxa"/>
            <w:shd w:val="clear" w:color="auto" w:fill="auto"/>
            <w:vAlign w:val="center"/>
          </w:tcPr>
          <w:p w14:paraId="0B33ADC8">
            <w:pPr>
              <w:pStyle w:val="105"/>
              <w:keepNext w:val="0"/>
              <w:keepLines w:val="0"/>
              <w:suppressLineNumbers w:val="0"/>
              <w:spacing w:before="0" w:beforeAutospacing="0" w:after="0" w:afterAutospacing="0"/>
              <w:ind w:left="0" w:leftChars="0" w:right="0" w:rightChars="0"/>
              <w:rPr>
                <w:rFonts w:ascii="Times New Roman" w:hAnsi="Times New Roman" w:eastAsia="宋体" w:cs="Times New Roman"/>
                <w:color w:val="auto"/>
                <w:kern w:val="0"/>
                <w:sz w:val="21"/>
                <w:szCs w:val="21"/>
                <w:highlight w:val="none"/>
                <w:lang w:val="zh-CN" w:eastAsia="zh-CN" w:bidi="en-AU"/>
              </w:rPr>
            </w:pPr>
            <w:r>
              <w:rPr>
                <w:rFonts w:hint="eastAsia" w:cs="Times New Roman"/>
                <w:color w:val="auto"/>
                <w:sz w:val="21"/>
                <w:szCs w:val="21"/>
                <w:highlight w:val="none"/>
                <w:lang w:val="en-US" w:eastAsia="zh-CN"/>
              </w:rPr>
              <w:t>颗粒物</w:t>
            </w:r>
          </w:p>
        </w:tc>
        <w:tc>
          <w:tcPr>
            <w:tcW w:w="2188" w:type="dxa"/>
            <w:vMerge w:val="continue"/>
            <w:shd w:val="clear" w:color="auto" w:fill="auto"/>
            <w:vAlign w:val="center"/>
          </w:tcPr>
          <w:p w14:paraId="36DA2992">
            <w:pPr>
              <w:adjustRightInd w:val="0"/>
              <w:snapToGrid w:val="0"/>
              <w:jc w:val="center"/>
              <w:rPr>
                <w:rFonts w:hint="eastAsia"/>
                <w:color w:val="auto"/>
                <w:szCs w:val="21"/>
                <w:highlight w:val="none"/>
                <w:lang w:eastAsia="zh-CN"/>
              </w:rPr>
            </w:pPr>
          </w:p>
          <w:p w14:paraId="4AEE9AFB">
            <w:pPr>
              <w:rPr>
                <w:color w:val="auto"/>
              </w:rPr>
            </w:pPr>
          </w:p>
          <w:p w14:paraId="4EA9324C">
            <w:pPr>
              <w:rPr>
                <w:color w:val="auto"/>
              </w:rPr>
            </w:pPr>
          </w:p>
        </w:tc>
        <w:tc>
          <w:tcPr>
            <w:tcW w:w="3859" w:type="dxa"/>
            <w:vMerge w:val="continue"/>
            <w:tcBorders/>
            <w:shd w:val="clear" w:color="auto" w:fill="auto"/>
            <w:vAlign w:val="center"/>
          </w:tcPr>
          <w:p w14:paraId="787BD1B5">
            <w:pPr>
              <w:pStyle w:val="105"/>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zh-CN" w:eastAsia="zh-CN" w:bidi="ar-SA"/>
              </w:rPr>
            </w:pPr>
          </w:p>
        </w:tc>
      </w:tr>
      <w:tr w14:paraId="5EE98D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091D1060">
            <w:pPr>
              <w:adjustRightInd w:val="0"/>
              <w:snapToGrid w:val="0"/>
              <w:jc w:val="center"/>
              <w:rPr>
                <w:color w:val="auto"/>
                <w:szCs w:val="21"/>
                <w:highlight w:val="none"/>
              </w:rPr>
            </w:pPr>
          </w:p>
        </w:tc>
        <w:tc>
          <w:tcPr>
            <w:tcW w:w="1022" w:type="dxa"/>
            <w:vMerge w:val="continue"/>
            <w:shd w:val="clear" w:color="auto" w:fill="auto"/>
            <w:vAlign w:val="center"/>
          </w:tcPr>
          <w:p w14:paraId="1AC35006">
            <w:pPr>
              <w:adjustRightInd w:val="0"/>
              <w:snapToGrid w:val="0"/>
              <w:jc w:val="center"/>
              <w:rPr>
                <w:rFonts w:hint="eastAsia"/>
                <w:color w:val="auto"/>
                <w:szCs w:val="21"/>
                <w:highlight w:val="none"/>
                <w:lang w:eastAsia="zh-CN"/>
              </w:rPr>
            </w:pPr>
          </w:p>
        </w:tc>
        <w:tc>
          <w:tcPr>
            <w:tcW w:w="1160" w:type="dxa"/>
            <w:shd w:val="clear" w:color="auto" w:fill="auto"/>
            <w:vAlign w:val="center"/>
          </w:tcPr>
          <w:p w14:paraId="1934F08D">
            <w:pPr>
              <w:pStyle w:val="105"/>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2188" w:type="dxa"/>
            <w:vMerge w:val="continue"/>
            <w:shd w:val="clear" w:color="auto" w:fill="auto"/>
            <w:vAlign w:val="center"/>
          </w:tcPr>
          <w:p w14:paraId="37327DA5">
            <w:pPr>
              <w:adjustRightInd w:val="0"/>
              <w:snapToGrid w:val="0"/>
              <w:jc w:val="center"/>
              <w:rPr>
                <w:rFonts w:hint="eastAsia"/>
                <w:color w:val="auto"/>
                <w:szCs w:val="21"/>
                <w:highlight w:val="none"/>
                <w:lang w:eastAsia="zh-CN"/>
              </w:rPr>
            </w:pPr>
          </w:p>
        </w:tc>
        <w:tc>
          <w:tcPr>
            <w:tcW w:w="3859" w:type="dxa"/>
            <w:vMerge w:val="restart"/>
            <w:shd w:val="clear" w:color="auto" w:fill="auto"/>
            <w:vAlign w:val="center"/>
          </w:tcPr>
          <w:p w14:paraId="20B4B573">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sz w:val="21"/>
                <w:szCs w:val="21"/>
                <w:highlight w:val="none"/>
                <w:lang w:val="en-US"/>
              </w:rPr>
              <w:t>《恶臭污染物排放标准》（GB14554-93）中表1无组织排放标准</w:t>
            </w:r>
          </w:p>
        </w:tc>
      </w:tr>
      <w:tr w14:paraId="6E9A7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6C28814F">
            <w:pPr>
              <w:adjustRightInd w:val="0"/>
              <w:snapToGrid w:val="0"/>
              <w:jc w:val="center"/>
              <w:rPr>
                <w:color w:val="auto"/>
                <w:szCs w:val="21"/>
                <w:highlight w:val="none"/>
              </w:rPr>
            </w:pPr>
          </w:p>
        </w:tc>
        <w:tc>
          <w:tcPr>
            <w:tcW w:w="1022" w:type="dxa"/>
            <w:vMerge w:val="continue"/>
            <w:shd w:val="clear" w:color="auto" w:fill="auto"/>
            <w:vAlign w:val="center"/>
          </w:tcPr>
          <w:p w14:paraId="0F05BEE3">
            <w:pPr>
              <w:adjustRightInd w:val="0"/>
              <w:snapToGrid w:val="0"/>
              <w:jc w:val="center"/>
              <w:rPr>
                <w:rFonts w:hint="eastAsia"/>
                <w:color w:val="auto"/>
                <w:szCs w:val="21"/>
                <w:highlight w:val="none"/>
                <w:lang w:eastAsia="zh-CN"/>
              </w:rPr>
            </w:pPr>
          </w:p>
        </w:tc>
        <w:tc>
          <w:tcPr>
            <w:tcW w:w="1160" w:type="dxa"/>
            <w:shd w:val="clear" w:color="auto" w:fill="auto"/>
            <w:vAlign w:val="center"/>
          </w:tcPr>
          <w:p w14:paraId="15EE1EA0">
            <w:pPr>
              <w:pStyle w:val="105"/>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sz w:val="21"/>
                <w:szCs w:val="21"/>
                <w:highlight w:val="none"/>
                <w:lang w:val="en-US"/>
              </w:rPr>
              <w:t>臭气浓度</w:t>
            </w:r>
          </w:p>
        </w:tc>
        <w:tc>
          <w:tcPr>
            <w:tcW w:w="2188" w:type="dxa"/>
            <w:vMerge w:val="continue"/>
            <w:shd w:val="clear" w:color="auto" w:fill="auto"/>
            <w:vAlign w:val="center"/>
          </w:tcPr>
          <w:p w14:paraId="748330E4">
            <w:pPr>
              <w:adjustRightInd w:val="0"/>
              <w:snapToGrid w:val="0"/>
              <w:jc w:val="center"/>
              <w:rPr>
                <w:rFonts w:hint="eastAsia"/>
                <w:color w:val="auto"/>
                <w:szCs w:val="21"/>
                <w:highlight w:val="none"/>
                <w:lang w:eastAsia="zh-CN"/>
              </w:rPr>
            </w:pPr>
          </w:p>
        </w:tc>
        <w:tc>
          <w:tcPr>
            <w:tcW w:w="3859" w:type="dxa"/>
            <w:vMerge w:val="continue"/>
            <w:tcBorders/>
            <w:shd w:val="clear" w:color="auto" w:fill="auto"/>
            <w:vAlign w:val="center"/>
          </w:tcPr>
          <w:p w14:paraId="01A65076">
            <w:pPr>
              <w:pStyle w:val="105"/>
              <w:keepNext w:val="0"/>
              <w:keepLines w:val="0"/>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highlight w:val="none"/>
                <w:lang w:val="zh-CN" w:eastAsia="zh-CN" w:bidi="ar-SA"/>
              </w:rPr>
            </w:pPr>
          </w:p>
        </w:tc>
      </w:tr>
      <w:tr w14:paraId="056EDA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7FABAD8E">
            <w:pPr>
              <w:adjustRightInd w:val="0"/>
              <w:snapToGrid w:val="0"/>
              <w:jc w:val="center"/>
              <w:rPr>
                <w:color w:val="auto"/>
                <w:szCs w:val="21"/>
                <w:highlight w:val="none"/>
              </w:rPr>
            </w:pPr>
          </w:p>
        </w:tc>
        <w:tc>
          <w:tcPr>
            <w:tcW w:w="1022" w:type="dxa"/>
            <w:shd w:val="clear" w:color="auto" w:fill="auto"/>
            <w:vAlign w:val="center"/>
          </w:tcPr>
          <w:p w14:paraId="34010697">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厂区内无组织排放废气</w:t>
            </w:r>
          </w:p>
        </w:tc>
        <w:tc>
          <w:tcPr>
            <w:tcW w:w="1160" w:type="dxa"/>
            <w:shd w:val="clear" w:color="auto" w:fill="auto"/>
            <w:vAlign w:val="center"/>
          </w:tcPr>
          <w:p w14:paraId="4444316A">
            <w:pPr>
              <w:autoSpaceDE w:val="0"/>
              <w:autoSpaceDN w:val="0"/>
              <w:adjustRightInd w:val="0"/>
              <w:jc w:val="center"/>
              <w:rPr>
                <w:rFonts w:hint="eastAsia"/>
                <w:color w:val="auto"/>
                <w:szCs w:val="21"/>
                <w:highlight w:val="none"/>
              </w:rPr>
            </w:pPr>
            <w:r>
              <w:rPr>
                <w:rFonts w:hint="eastAsia"/>
                <w:color w:val="auto"/>
                <w:kern w:val="0"/>
                <w:szCs w:val="21"/>
                <w:highlight w:val="none"/>
                <w:lang w:eastAsia="zh-CN" w:bidi="en-AU"/>
              </w:rPr>
              <w:t>非甲烷总烃</w:t>
            </w:r>
          </w:p>
        </w:tc>
        <w:tc>
          <w:tcPr>
            <w:tcW w:w="2188" w:type="dxa"/>
            <w:shd w:val="clear" w:color="auto" w:fill="auto"/>
            <w:vAlign w:val="center"/>
          </w:tcPr>
          <w:p w14:paraId="63C8D905">
            <w:pPr>
              <w:adjustRightInd w:val="0"/>
              <w:snapToGrid w:val="0"/>
              <w:jc w:val="center"/>
              <w:rPr>
                <w:color w:val="auto"/>
                <w:szCs w:val="21"/>
                <w:highlight w:val="none"/>
              </w:rPr>
            </w:pPr>
            <w:r>
              <w:rPr>
                <w:rFonts w:hint="eastAsia"/>
                <w:color w:val="auto"/>
                <w:szCs w:val="21"/>
                <w:highlight w:val="none"/>
                <w:lang w:val="en-US" w:eastAsia="zh-CN"/>
              </w:rPr>
              <w:t>/</w:t>
            </w:r>
          </w:p>
        </w:tc>
        <w:tc>
          <w:tcPr>
            <w:tcW w:w="3859" w:type="dxa"/>
            <w:shd w:val="clear" w:color="auto" w:fill="auto"/>
            <w:vAlign w:val="center"/>
          </w:tcPr>
          <w:p w14:paraId="2E50484E">
            <w:pPr>
              <w:adjustRightInd w:val="0"/>
              <w:snapToGrid w:val="0"/>
              <w:jc w:val="center"/>
              <w:rPr>
                <w:rFonts w:hint="eastAsia"/>
                <w:color w:val="auto"/>
                <w:szCs w:val="21"/>
                <w:highlight w:val="none"/>
              </w:rPr>
            </w:pPr>
            <w:r>
              <w:rPr>
                <w:rFonts w:ascii="Times New Roman" w:hAnsi="Times New Roman" w:eastAsia="宋体" w:cs="Times New Roman"/>
                <w:color w:val="auto"/>
                <w:highlight w:val="none"/>
              </w:rPr>
              <w:t>广东省地方标准《固定污染源挥发性有机物综合排放标准》（DB44/2367—2022）中表3厂区内VOCs无组织排放限值</w:t>
            </w:r>
          </w:p>
        </w:tc>
      </w:tr>
      <w:tr w14:paraId="29EBB1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restart"/>
            <w:shd w:val="clear" w:color="auto" w:fill="auto"/>
            <w:vAlign w:val="center"/>
          </w:tcPr>
          <w:p w14:paraId="1BA0A41E">
            <w:pPr>
              <w:adjustRightInd w:val="0"/>
              <w:snapToGrid w:val="0"/>
              <w:jc w:val="center"/>
              <w:rPr>
                <w:color w:val="auto"/>
                <w:szCs w:val="21"/>
                <w:highlight w:val="none"/>
              </w:rPr>
            </w:pPr>
            <w:r>
              <w:rPr>
                <w:color w:val="auto"/>
                <w:szCs w:val="21"/>
                <w:highlight w:val="none"/>
              </w:rPr>
              <w:t>地表水环境</w:t>
            </w:r>
          </w:p>
        </w:tc>
        <w:tc>
          <w:tcPr>
            <w:tcW w:w="1022" w:type="dxa"/>
            <w:vMerge w:val="restart"/>
            <w:shd w:val="clear" w:color="auto" w:fill="auto"/>
            <w:vAlign w:val="center"/>
          </w:tcPr>
          <w:p w14:paraId="64B7F6B8">
            <w:pPr>
              <w:adjustRightInd w:val="0"/>
              <w:snapToGrid w:val="0"/>
              <w:jc w:val="center"/>
              <w:rPr>
                <w:color w:val="auto"/>
                <w:szCs w:val="21"/>
                <w:highlight w:val="none"/>
              </w:rPr>
            </w:pPr>
            <w:r>
              <w:rPr>
                <w:color w:val="auto"/>
                <w:szCs w:val="21"/>
                <w:highlight w:val="none"/>
              </w:rPr>
              <w:t>生活污水</w:t>
            </w:r>
          </w:p>
        </w:tc>
        <w:tc>
          <w:tcPr>
            <w:tcW w:w="1160" w:type="dxa"/>
            <w:shd w:val="clear" w:color="auto" w:fill="auto"/>
            <w:vAlign w:val="center"/>
          </w:tcPr>
          <w:p w14:paraId="465442D6">
            <w:pPr>
              <w:jc w:val="center"/>
              <w:rPr>
                <w:color w:val="auto"/>
                <w:szCs w:val="21"/>
                <w:highlight w:val="none"/>
              </w:rPr>
            </w:pPr>
            <w:r>
              <w:rPr>
                <w:color w:val="auto"/>
                <w:szCs w:val="21"/>
                <w:highlight w:val="none"/>
              </w:rPr>
              <w:t>COD</w:t>
            </w:r>
            <w:r>
              <w:rPr>
                <w:color w:val="auto"/>
                <w:szCs w:val="21"/>
                <w:highlight w:val="none"/>
                <w:vertAlign w:val="subscript"/>
              </w:rPr>
              <w:t>cr</w:t>
            </w:r>
          </w:p>
        </w:tc>
        <w:tc>
          <w:tcPr>
            <w:tcW w:w="2188" w:type="dxa"/>
            <w:vMerge w:val="restart"/>
            <w:shd w:val="clear" w:color="auto" w:fill="auto"/>
            <w:vAlign w:val="center"/>
          </w:tcPr>
          <w:p w14:paraId="1D2ED307">
            <w:pPr>
              <w:pStyle w:val="61"/>
              <w:spacing w:before="0" w:beforeAutospacing="0" w:after="0" w:afterAutospacing="0"/>
              <w:jc w:val="center"/>
              <w:rPr>
                <w:rFonts w:hint="default" w:eastAsia="宋体"/>
                <w:color w:val="auto"/>
                <w:szCs w:val="21"/>
                <w:highlight w:val="none"/>
                <w:lang w:val="en-US" w:eastAsia="zh-CN"/>
              </w:rPr>
            </w:pPr>
            <w:r>
              <w:rPr>
                <w:rFonts w:hint="eastAsia" w:ascii="Times New Roman"/>
                <w:color w:val="auto"/>
                <w:kern w:val="2"/>
                <w:sz w:val="21"/>
                <w:szCs w:val="21"/>
                <w:highlight w:val="none"/>
              </w:rPr>
              <w:t>经</w:t>
            </w:r>
            <w:r>
              <w:rPr>
                <w:rFonts w:hint="eastAsia" w:ascii="Times New Roman"/>
                <w:color w:val="auto"/>
                <w:kern w:val="2"/>
                <w:sz w:val="21"/>
                <w:szCs w:val="21"/>
                <w:highlight w:val="none"/>
                <w:lang w:eastAsia="zh-CN"/>
              </w:rPr>
              <w:t>中山市东凤镇污水处理有限责任公司</w:t>
            </w:r>
            <w:r>
              <w:rPr>
                <w:rFonts w:hint="eastAsia" w:ascii="Times New Roman"/>
                <w:color w:val="auto"/>
                <w:kern w:val="2"/>
                <w:sz w:val="21"/>
                <w:szCs w:val="21"/>
                <w:highlight w:val="none"/>
              </w:rPr>
              <w:t>处理后排到</w:t>
            </w:r>
            <w:r>
              <w:rPr>
                <w:rFonts w:hint="eastAsia" w:ascii="Times New Roman"/>
                <w:color w:val="auto"/>
                <w:kern w:val="2"/>
                <w:sz w:val="21"/>
                <w:szCs w:val="21"/>
                <w:highlight w:val="none"/>
                <w:lang w:val="en-US" w:eastAsia="zh-CN"/>
              </w:rPr>
              <w:t>中心排河</w:t>
            </w:r>
          </w:p>
        </w:tc>
        <w:tc>
          <w:tcPr>
            <w:tcW w:w="3859" w:type="dxa"/>
            <w:vMerge w:val="restart"/>
            <w:shd w:val="clear" w:color="auto" w:fill="auto"/>
            <w:vAlign w:val="center"/>
          </w:tcPr>
          <w:p w14:paraId="581FE5F6">
            <w:pPr>
              <w:adjustRightInd w:val="0"/>
              <w:snapToGrid w:val="0"/>
              <w:jc w:val="center"/>
              <w:rPr>
                <w:color w:val="auto"/>
                <w:szCs w:val="21"/>
                <w:highlight w:val="none"/>
              </w:rPr>
            </w:pPr>
            <w:r>
              <w:rPr>
                <w:color w:val="auto"/>
                <w:szCs w:val="21"/>
                <w:highlight w:val="none"/>
              </w:rPr>
              <w:t>广东省《水污染物排放限值》(DB44/26－2001</w:t>
            </w:r>
            <w:r>
              <w:rPr>
                <w:rFonts w:hint="eastAsia"/>
                <w:color w:val="auto"/>
                <w:szCs w:val="21"/>
                <w:highlight w:val="none"/>
                <w:lang w:eastAsia="zh-CN"/>
              </w:rPr>
              <w:t>）</w:t>
            </w:r>
            <w:r>
              <w:rPr>
                <w:color w:val="auto"/>
                <w:szCs w:val="21"/>
                <w:highlight w:val="none"/>
              </w:rPr>
              <w:t>第二时段三级标准</w:t>
            </w:r>
          </w:p>
        </w:tc>
      </w:tr>
      <w:tr w14:paraId="4EFDBF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10DA39F5">
            <w:pPr>
              <w:adjustRightInd w:val="0"/>
              <w:snapToGrid w:val="0"/>
              <w:jc w:val="center"/>
              <w:rPr>
                <w:color w:val="auto"/>
                <w:szCs w:val="21"/>
                <w:highlight w:val="none"/>
              </w:rPr>
            </w:pPr>
          </w:p>
        </w:tc>
        <w:tc>
          <w:tcPr>
            <w:tcW w:w="1022" w:type="dxa"/>
            <w:vMerge w:val="continue"/>
            <w:shd w:val="clear" w:color="auto" w:fill="auto"/>
            <w:vAlign w:val="center"/>
          </w:tcPr>
          <w:p w14:paraId="6F9BFEFD">
            <w:pPr>
              <w:adjustRightInd w:val="0"/>
              <w:snapToGrid w:val="0"/>
              <w:jc w:val="center"/>
              <w:rPr>
                <w:color w:val="auto"/>
                <w:szCs w:val="21"/>
                <w:highlight w:val="none"/>
              </w:rPr>
            </w:pPr>
          </w:p>
        </w:tc>
        <w:tc>
          <w:tcPr>
            <w:tcW w:w="1160" w:type="dxa"/>
            <w:shd w:val="clear" w:color="auto" w:fill="auto"/>
            <w:vAlign w:val="center"/>
          </w:tcPr>
          <w:p w14:paraId="56C389C5">
            <w:pPr>
              <w:jc w:val="center"/>
              <w:rPr>
                <w:color w:val="auto"/>
                <w:szCs w:val="21"/>
                <w:highlight w:val="none"/>
              </w:rPr>
            </w:pPr>
            <w:r>
              <w:rPr>
                <w:color w:val="auto"/>
                <w:szCs w:val="21"/>
                <w:highlight w:val="none"/>
              </w:rPr>
              <w:t>BOD</w:t>
            </w:r>
            <w:r>
              <w:rPr>
                <w:color w:val="auto"/>
                <w:szCs w:val="21"/>
                <w:highlight w:val="none"/>
                <w:vertAlign w:val="subscript"/>
              </w:rPr>
              <w:t>5</w:t>
            </w:r>
          </w:p>
        </w:tc>
        <w:tc>
          <w:tcPr>
            <w:tcW w:w="2188" w:type="dxa"/>
            <w:vMerge w:val="continue"/>
            <w:shd w:val="clear" w:color="auto" w:fill="auto"/>
            <w:vAlign w:val="center"/>
          </w:tcPr>
          <w:p w14:paraId="42D80995">
            <w:pPr>
              <w:adjustRightInd w:val="0"/>
              <w:snapToGrid w:val="0"/>
              <w:jc w:val="center"/>
              <w:rPr>
                <w:color w:val="auto"/>
                <w:szCs w:val="21"/>
                <w:highlight w:val="none"/>
              </w:rPr>
            </w:pPr>
          </w:p>
        </w:tc>
        <w:tc>
          <w:tcPr>
            <w:tcW w:w="3859" w:type="dxa"/>
            <w:vMerge w:val="continue"/>
            <w:shd w:val="clear" w:color="auto" w:fill="auto"/>
            <w:vAlign w:val="center"/>
          </w:tcPr>
          <w:p w14:paraId="66CD1992">
            <w:pPr>
              <w:adjustRightInd w:val="0"/>
              <w:snapToGrid w:val="0"/>
              <w:jc w:val="center"/>
              <w:rPr>
                <w:color w:val="auto"/>
                <w:szCs w:val="21"/>
                <w:highlight w:val="none"/>
              </w:rPr>
            </w:pPr>
          </w:p>
        </w:tc>
      </w:tr>
      <w:tr w14:paraId="39366B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831" w:type="dxa"/>
            <w:gridSpan w:val="2"/>
            <w:vMerge w:val="continue"/>
            <w:shd w:val="clear" w:color="auto" w:fill="auto"/>
            <w:vAlign w:val="center"/>
          </w:tcPr>
          <w:p w14:paraId="27E5899C">
            <w:pPr>
              <w:adjustRightInd w:val="0"/>
              <w:snapToGrid w:val="0"/>
              <w:jc w:val="center"/>
              <w:rPr>
                <w:color w:val="auto"/>
                <w:szCs w:val="21"/>
                <w:highlight w:val="none"/>
              </w:rPr>
            </w:pPr>
          </w:p>
        </w:tc>
        <w:tc>
          <w:tcPr>
            <w:tcW w:w="1022" w:type="dxa"/>
            <w:vMerge w:val="continue"/>
            <w:shd w:val="clear" w:color="auto" w:fill="auto"/>
            <w:vAlign w:val="center"/>
          </w:tcPr>
          <w:p w14:paraId="1CD4E19F">
            <w:pPr>
              <w:adjustRightInd w:val="0"/>
              <w:snapToGrid w:val="0"/>
              <w:jc w:val="center"/>
              <w:rPr>
                <w:color w:val="auto"/>
                <w:szCs w:val="21"/>
                <w:highlight w:val="none"/>
              </w:rPr>
            </w:pPr>
          </w:p>
        </w:tc>
        <w:tc>
          <w:tcPr>
            <w:tcW w:w="1160" w:type="dxa"/>
            <w:shd w:val="clear" w:color="auto" w:fill="auto"/>
            <w:vAlign w:val="center"/>
          </w:tcPr>
          <w:p w14:paraId="7737D37A">
            <w:pPr>
              <w:jc w:val="center"/>
              <w:rPr>
                <w:rFonts w:hint="default" w:eastAsia="宋体"/>
                <w:color w:val="auto"/>
                <w:szCs w:val="21"/>
                <w:highlight w:val="none"/>
                <w:lang w:val="en-US" w:eastAsia="zh-CN"/>
              </w:rPr>
            </w:pPr>
            <w:r>
              <w:rPr>
                <w:rFonts w:hint="eastAsia"/>
                <w:color w:val="auto"/>
                <w:szCs w:val="21"/>
                <w:highlight w:val="none"/>
                <w:lang w:val="en-US" w:eastAsia="zh-CN"/>
              </w:rPr>
              <w:t>pH</w:t>
            </w:r>
          </w:p>
        </w:tc>
        <w:tc>
          <w:tcPr>
            <w:tcW w:w="2188" w:type="dxa"/>
            <w:vMerge w:val="continue"/>
            <w:shd w:val="clear" w:color="auto" w:fill="auto"/>
            <w:vAlign w:val="center"/>
          </w:tcPr>
          <w:p w14:paraId="487F12D1">
            <w:pPr>
              <w:adjustRightInd w:val="0"/>
              <w:snapToGrid w:val="0"/>
              <w:jc w:val="center"/>
              <w:rPr>
                <w:color w:val="auto"/>
                <w:szCs w:val="21"/>
                <w:highlight w:val="none"/>
              </w:rPr>
            </w:pPr>
          </w:p>
        </w:tc>
        <w:tc>
          <w:tcPr>
            <w:tcW w:w="3859" w:type="dxa"/>
            <w:vMerge w:val="continue"/>
            <w:shd w:val="clear" w:color="auto" w:fill="auto"/>
            <w:vAlign w:val="center"/>
          </w:tcPr>
          <w:p w14:paraId="53411169">
            <w:pPr>
              <w:adjustRightInd w:val="0"/>
              <w:snapToGrid w:val="0"/>
              <w:jc w:val="center"/>
              <w:rPr>
                <w:color w:val="auto"/>
                <w:szCs w:val="21"/>
                <w:highlight w:val="none"/>
              </w:rPr>
            </w:pPr>
          </w:p>
        </w:tc>
      </w:tr>
      <w:tr w14:paraId="67B0EC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1CD07A02">
            <w:pPr>
              <w:adjustRightInd w:val="0"/>
              <w:snapToGrid w:val="0"/>
              <w:jc w:val="center"/>
              <w:rPr>
                <w:color w:val="auto"/>
                <w:szCs w:val="21"/>
                <w:highlight w:val="none"/>
              </w:rPr>
            </w:pPr>
          </w:p>
        </w:tc>
        <w:tc>
          <w:tcPr>
            <w:tcW w:w="1022" w:type="dxa"/>
            <w:vMerge w:val="continue"/>
            <w:shd w:val="clear" w:color="auto" w:fill="auto"/>
            <w:vAlign w:val="center"/>
          </w:tcPr>
          <w:p w14:paraId="5039AD21">
            <w:pPr>
              <w:adjustRightInd w:val="0"/>
              <w:snapToGrid w:val="0"/>
              <w:jc w:val="center"/>
              <w:rPr>
                <w:color w:val="auto"/>
                <w:szCs w:val="21"/>
                <w:highlight w:val="none"/>
              </w:rPr>
            </w:pPr>
          </w:p>
        </w:tc>
        <w:tc>
          <w:tcPr>
            <w:tcW w:w="1160" w:type="dxa"/>
            <w:shd w:val="clear" w:color="auto" w:fill="auto"/>
            <w:vAlign w:val="center"/>
          </w:tcPr>
          <w:p w14:paraId="738ECC6A">
            <w:pPr>
              <w:ind w:firstLine="32"/>
              <w:jc w:val="center"/>
              <w:rPr>
                <w:color w:val="auto"/>
                <w:szCs w:val="21"/>
                <w:highlight w:val="none"/>
              </w:rPr>
            </w:pPr>
            <w:r>
              <w:rPr>
                <w:color w:val="auto"/>
                <w:szCs w:val="21"/>
                <w:highlight w:val="none"/>
              </w:rPr>
              <w:t>SS</w:t>
            </w:r>
          </w:p>
        </w:tc>
        <w:tc>
          <w:tcPr>
            <w:tcW w:w="2188" w:type="dxa"/>
            <w:vMerge w:val="continue"/>
            <w:shd w:val="clear" w:color="auto" w:fill="auto"/>
            <w:vAlign w:val="center"/>
          </w:tcPr>
          <w:p w14:paraId="469EC52C">
            <w:pPr>
              <w:pStyle w:val="61"/>
              <w:spacing w:before="0" w:beforeAutospacing="0" w:after="0" w:afterAutospacing="0"/>
              <w:jc w:val="center"/>
              <w:rPr>
                <w:color w:val="auto"/>
                <w:szCs w:val="21"/>
                <w:highlight w:val="none"/>
              </w:rPr>
            </w:pPr>
          </w:p>
        </w:tc>
        <w:tc>
          <w:tcPr>
            <w:tcW w:w="3859" w:type="dxa"/>
            <w:vMerge w:val="continue"/>
            <w:shd w:val="clear" w:color="auto" w:fill="auto"/>
            <w:vAlign w:val="center"/>
          </w:tcPr>
          <w:p w14:paraId="1B34649F">
            <w:pPr>
              <w:adjustRightInd w:val="0"/>
              <w:snapToGrid w:val="0"/>
              <w:jc w:val="center"/>
              <w:rPr>
                <w:color w:val="auto"/>
                <w:szCs w:val="21"/>
                <w:highlight w:val="none"/>
              </w:rPr>
            </w:pPr>
          </w:p>
        </w:tc>
      </w:tr>
      <w:tr w14:paraId="00507C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vMerge w:val="continue"/>
            <w:shd w:val="clear" w:color="auto" w:fill="auto"/>
            <w:vAlign w:val="center"/>
          </w:tcPr>
          <w:p w14:paraId="3A18C556">
            <w:pPr>
              <w:adjustRightInd w:val="0"/>
              <w:snapToGrid w:val="0"/>
              <w:jc w:val="center"/>
              <w:rPr>
                <w:color w:val="auto"/>
                <w:szCs w:val="21"/>
                <w:highlight w:val="none"/>
              </w:rPr>
            </w:pPr>
          </w:p>
        </w:tc>
        <w:tc>
          <w:tcPr>
            <w:tcW w:w="1022" w:type="dxa"/>
            <w:vMerge w:val="continue"/>
            <w:shd w:val="clear" w:color="auto" w:fill="auto"/>
            <w:vAlign w:val="center"/>
          </w:tcPr>
          <w:p w14:paraId="461F5E6E">
            <w:pPr>
              <w:adjustRightInd w:val="0"/>
              <w:snapToGrid w:val="0"/>
              <w:jc w:val="center"/>
              <w:rPr>
                <w:color w:val="auto"/>
                <w:szCs w:val="21"/>
                <w:highlight w:val="none"/>
              </w:rPr>
            </w:pPr>
          </w:p>
        </w:tc>
        <w:tc>
          <w:tcPr>
            <w:tcW w:w="1160" w:type="dxa"/>
            <w:shd w:val="clear" w:color="auto" w:fill="auto"/>
            <w:vAlign w:val="center"/>
          </w:tcPr>
          <w:p w14:paraId="3A513AB2">
            <w:pPr>
              <w:ind w:firstLine="32"/>
              <w:jc w:val="center"/>
              <w:rPr>
                <w:color w:val="auto"/>
                <w:szCs w:val="21"/>
                <w:highlight w:val="none"/>
              </w:rPr>
            </w:pPr>
            <w:r>
              <w:rPr>
                <w:color w:val="auto"/>
                <w:szCs w:val="21"/>
                <w:highlight w:val="none"/>
              </w:rPr>
              <w:t>NH</w:t>
            </w:r>
            <w:r>
              <w:rPr>
                <w:color w:val="auto"/>
                <w:szCs w:val="21"/>
                <w:highlight w:val="none"/>
                <w:vertAlign w:val="subscript"/>
              </w:rPr>
              <w:t>3</w:t>
            </w:r>
            <w:r>
              <w:rPr>
                <w:color w:val="auto"/>
                <w:szCs w:val="21"/>
                <w:highlight w:val="none"/>
              </w:rPr>
              <w:t>-N</w:t>
            </w:r>
          </w:p>
        </w:tc>
        <w:tc>
          <w:tcPr>
            <w:tcW w:w="2188" w:type="dxa"/>
            <w:vMerge w:val="continue"/>
            <w:shd w:val="clear" w:color="auto" w:fill="auto"/>
            <w:vAlign w:val="center"/>
          </w:tcPr>
          <w:p w14:paraId="19D2021C">
            <w:pPr>
              <w:adjustRightInd w:val="0"/>
              <w:snapToGrid w:val="0"/>
              <w:jc w:val="center"/>
              <w:rPr>
                <w:color w:val="auto"/>
                <w:szCs w:val="21"/>
                <w:highlight w:val="none"/>
              </w:rPr>
            </w:pPr>
          </w:p>
        </w:tc>
        <w:tc>
          <w:tcPr>
            <w:tcW w:w="3859" w:type="dxa"/>
            <w:vMerge w:val="continue"/>
            <w:shd w:val="clear" w:color="auto" w:fill="auto"/>
            <w:vAlign w:val="center"/>
          </w:tcPr>
          <w:p w14:paraId="55F73FAC">
            <w:pPr>
              <w:adjustRightInd w:val="0"/>
              <w:snapToGrid w:val="0"/>
              <w:jc w:val="center"/>
              <w:rPr>
                <w:color w:val="auto"/>
                <w:szCs w:val="21"/>
                <w:highlight w:val="none"/>
              </w:rPr>
            </w:pPr>
          </w:p>
        </w:tc>
      </w:tr>
      <w:tr w14:paraId="19B2D8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1" w:type="dxa"/>
            <w:gridSpan w:val="2"/>
            <w:shd w:val="clear" w:color="auto" w:fill="auto"/>
            <w:vAlign w:val="center"/>
          </w:tcPr>
          <w:p w14:paraId="696139E0">
            <w:pPr>
              <w:adjustRightInd w:val="0"/>
              <w:snapToGrid w:val="0"/>
              <w:jc w:val="center"/>
              <w:rPr>
                <w:color w:val="auto"/>
                <w:szCs w:val="21"/>
                <w:highlight w:val="none"/>
              </w:rPr>
            </w:pPr>
            <w:r>
              <w:rPr>
                <w:color w:val="auto"/>
                <w:szCs w:val="21"/>
                <w:highlight w:val="none"/>
              </w:rPr>
              <w:t>声环境</w:t>
            </w:r>
          </w:p>
        </w:tc>
        <w:tc>
          <w:tcPr>
            <w:tcW w:w="8229" w:type="dxa"/>
            <w:gridSpan w:val="4"/>
            <w:shd w:val="clear" w:color="auto" w:fill="auto"/>
            <w:vAlign w:val="center"/>
          </w:tcPr>
          <w:p w14:paraId="762048F8">
            <w:pPr>
              <w:adjustRightInd w:val="0"/>
              <w:snapToGrid w:val="0"/>
              <w:jc w:val="center"/>
              <w:rPr>
                <w:rFonts w:hint="eastAsia"/>
                <w:color w:val="auto"/>
                <w:szCs w:val="21"/>
                <w:highlight w:val="none"/>
              </w:rPr>
            </w:pPr>
            <w:r>
              <w:rPr>
                <w:color w:val="auto"/>
                <w:szCs w:val="21"/>
                <w:highlight w:val="none"/>
              </w:rPr>
              <w:t>采用有效的隔音、消声措施，</w:t>
            </w:r>
            <w:r>
              <w:rPr>
                <w:rFonts w:hint="eastAsia"/>
                <w:color w:val="auto"/>
                <w:szCs w:val="21"/>
                <w:highlight w:val="none"/>
                <w:lang w:val="zh-CN"/>
              </w:rPr>
              <w:t>厂界噪声可达到《工业企业厂界环境噪声排放标准》(GB12348－2008)</w:t>
            </w:r>
            <w:r>
              <w:rPr>
                <w:rFonts w:hint="eastAsia"/>
                <w:color w:val="auto"/>
                <w:szCs w:val="21"/>
                <w:highlight w:val="none"/>
              </w:rPr>
              <w:t>3</w:t>
            </w:r>
            <w:r>
              <w:rPr>
                <w:rFonts w:hint="eastAsia"/>
                <w:color w:val="auto"/>
                <w:szCs w:val="21"/>
                <w:highlight w:val="none"/>
                <w:lang w:val="zh-CN"/>
              </w:rPr>
              <w:t>类标准</w:t>
            </w:r>
            <w:r>
              <w:rPr>
                <w:rFonts w:hint="eastAsia"/>
                <w:color w:val="auto"/>
                <w:szCs w:val="21"/>
                <w:highlight w:val="none"/>
              </w:rPr>
              <w:t>。</w:t>
            </w:r>
            <w:r>
              <w:rPr>
                <w:rFonts w:hint="eastAsia"/>
                <w:color w:val="auto"/>
                <w:highlight w:val="none"/>
                <w:lang w:eastAsia="zh-CN"/>
              </w:rPr>
              <w:t>敏感点达到</w:t>
            </w:r>
            <w:r>
              <w:rPr>
                <w:rFonts w:hint="eastAsia" w:ascii="Times New Roman" w:hAnsi="Times New Roman" w:eastAsia="宋体" w:cs="Times New Roman"/>
                <w:color w:val="auto"/>
                <w:szCs w:val="21"/>
                <w:highlight w:val="none"/>
                <w:lang w:val="zh-CN" w:eastAsia="zh-CN"/>
              </w:rPr>
              <w:t>《声环境质量标准》</w:t>
            </w:r>
            <w:r>
              <w:rPr>
                <w:rFonts w:hint="eastAsia" w:ascii="Times New Roman" w:hAnsi="Times New Roman" w:eastAsia="宋体" w:cs="Times New Roman"/>
                <w:color w:val="auto"/>
                <w:szCs w:val="21"/>
                <w:highlight w:val="none"/>
                <w:lang w:val="en-US" w:eastAsia="zh-CN"/>
              </w:rPr>
              <w:t>（GB3096-2008）</w:t>
            </w:r>
            <w:r>
              <w:rPr>
                <w:rFonts w:hint="eastAsia" w:cs="Times New Roman"/>
                <w:color w:val="auto"/>
                <w:szCs w:val="21"/>
                <w:highlight w:val="none"/>
                <w:lang w:val="en-US" w:eastAsia="zh-CN"/>
              </w:rPr>
              <w:t>2</w:t>
            </w:r>
            <w:r>
              <w:rPr>
                <w:rFonts w:hint="eastAsia" w:ascii="Times New Roman" w:hAnsi="Times New Roman" w:eastAsia="宋体" w:cs="Times New Roman"/>
                <w:color w:val="auto"/>
                <w:szCs w:val="21"/>
                <w:highlight w:val="none"/>
                <w:lang w:val="en-US" w:eastAsia="zh-CN"/>
              </w:rPr>
              <w:t>类标准</w:t>
            </w:r>
          </w:p>
        </w:tc>
      </w:tr>
      <w:tr w14:paraId="21E31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 w:type="dxa"/>
            <w:vMerge w:val="restart"/>
            <w:tcBorders>
              <w:top w:val="single" w:color="auto" w:sz="4" w:space="0"/>
              <w:left w:val="single" w:color="auto" w:sz="4" w:space="0"/>
            </w:tcBorders>
            <w:shd w:val="clear" w:color="auto" w:fill="auto"/>
            <w:tcMar>
              <w:top w:w="0" w:type="dxa"/>
              <w:left w:w="57" w:type="dxa"/>
              <w:bottom w:w="0" w:type="dxa"/>
              <w:right w:w="51" w:type="dxa"/>
            </w:tcMar>
            <w:vAlign w:val="center"/>
          </w:tcPr>
          <w:p w14:paraId="06119F62">
            <w:pPr>
              <w:jc w:val="center"/>
              <w:rPr>
                <w:color w:val="auto"/>
                <w:szCs w:val="21"/>
                <w:highlight w:val="none"/>
              </w:rPr>
            </w:pPr>
            <w:r>
              <w:rPr>
                <w:color w:val="auto"/>
                <w:szCs w:val="21"/>
                <w:highlight w:val="none"/>
              </w:rPr>
              <w:t>固体废物</w:t>
            </w:r>
          </w:p>
        </w:tc>
        <w:tc>
          <w:tcPr>
            <w:tcW w:w="513" w:type="dxa"/>
            <w:tcBorders>
              <w:top w:val="single" w:color="auto" w:sz="4" w:space="0"/>
              <w:bottom w:val="single" w:color="auto" w:sz="4" w:space="0"/>
            </w:tcBorders>
            <w:shd w:val="clear" w:color="auto" w:fill="auto"/>
            <w:tcMar>
              <w:top w:w="0" w:type="dxa"/>
              <w:left w:w="57" w:type="dxa"/>
              <w:bottom w:w="0" w:type="dxa"/>
              <w:right w:w="51" w:type="dxa"/>
            </w:tcMar>
            <w:vAlign w:val="center"/>
          </w:tcPr>
          <w:p w14:paraId="339793E9">
            <w:pPr>
              <w:autoSpaceDE w:val="0"/>
              <w:autoSpaceDN w:val="0"/>
              <w:adjustRightInd w:val="0"/>
              <w:jc w:val="center"/>
              <w:rPr>
                <w:color w:val="auto"/>
                <w:kern w:val="0"/>
                <w:szCs w:val="21"/>
                <w:highlight w:val="none"/>
              </w:rPr>
            </w:pPr>
            <w:r>
              <w:rPr>
                <w:color w:val="auto"/>
                <w:kern w:val="0"/>
                <w:szCs w:val="21"/>
                <w:highlight w:val="none"/>
              </w:rPr>
              <w:t>办公生活</w:t>
            </w:r>
          </w:p>
        </w:tc>
        <w:tc>
          <w:tcPr>
            <w:tcW w:w="2182" w:type="dxa"/>
            <w:gridSpan w:val="2"/>
            <w:tcBorders>
              <w:top w:val="single" w:color="auto" w:sz="4" w:space="0"/>
              <w:bottom w:val="single" w:color="auto" w:sz="4" w:space="0"/>
            </w:tcBorders>
            <w:shd w:val="clear" w:color="auto" w:fill="auto"/>
            <w:tcMar>
              <w:top w:w="0" w:type="dxa"/>
              <w:left w:w="57" w:type="dxa"/>
              <w:bottom w:w="0" w:type="dxa"/>
              <w:right w:w="51" w:type="dxa"/>
            </w:tcMar>
            <w:vAlign w:val="center"/>
          </w:tcPr>
          <w:p w14:paraId="7BA43983">
            <w:pPr>
              <w:jc w:val="center"/>
              <w:rPr>
                <w:color w:val="auto"/>
                <w:szCs w:val="21"/>
                <w:highlight w:val="none"/>
              </w:rPr>
            </w:pPr>
            <w:r>
              <w:rPr>
                <w:color w:val="auto"/>
                <w:szCs w:val="21"/>
                <w:highlight w:val="none"/>
              </w:rPr>
              <w:t>生活垃圾</w:t>
            </w:r>
          </w:p>
        </w:tc>
        <w:tc>
          <w:tcPr>
            <w:tcW w:w="2188" w:type="dxa"/>
            <w:tcBorders>
              <w:top w:val="single" w:color="auto" w:sz="4" w:space="0"/>
              <w:bottom w:val="single" w:color="auto" w:sz="4" w:space="0"/>
            </w:tcBorders>
            <w:shd w:val="clear" w:color="auto" w:fill="auto"/>
            <w:tcMar>
              <w:top w:w="0" w:type="dxa"/>
              <w:left w:w="57" w:type="dxa"/>
              <w:bottom w:w="0" w:type="dxa"/>
              <w:right w:w="51" w:type="dxa"/>
            </w:tcMar>
            <w:vAlign w:val="center"/>
          </w:tcPr>
          <w:p w14:paraId="0412B034">
            <w:pPr>
              <w:autoSpaceDE w:val="0"/>
              <w:autoSpaceDN w:val="0"/>
              <w:adjustRightInd w:val="0"/>
              <w:jc w:val="center"/>
              <w:rPr>
                <w:color w:val="auto"/>
                <w:kern w:val="0"/>
                <w:szCs w:val="21"/>
                <w:highlight w:val="none"/>
              </w:rPr>
            </w:pPr>
            <w:r>
              <w:rPr>
                <w:color w:val="auto"/>
                <w:kern w:val="0"/>
                <w:szCs w:val="21"/>
                <w:highlight w:val="none"/>
              </w:rPr>
              <w:t>交由环卫部门清运处理</w:t>
            </w:r>
          </w:p>
        </w:tc>
        <w:tc>
          <w:tcPr>
            <w:tcW w:w="3859" w:type="dxa"/>
            <w:vMerge w:val="restart"/>
            <w:tcBorders>
              <w:top w:val="single" w:color="auto" w:sz="4" w:space="0"/>
              <w:right w:val="single" w:color="auto" w:sz="4" w:space="0"/>
            </w:tcBorders>
            <w:shd w:val="clear" w:color="auto" w:fill="auto"/>
            <w:tcMar>
              <w:top w:w="0" w:type="dxa"/>
              <w:left w:w="57" w:type="dxa"/>
              <w:bottom w:w="0" w:type="dxa"/>
              <w:right w:w="51" w:type="dxa"/>
            </w:tcMar>
            <w:vAlign w:val="center"/>
          </w:tcPr>
          <w:p w14:paraId="4EBF87A1">
            <w:pPr>
              <w:autoSpaceDE w:val="0"/>
              <w:autoSpaceDN w:val="0"/>
              <w:adjustRightInd w:val="0"/>
              <w:jc w:val="center"/>
              <w:rPr>
                <w:color w:val="auto"/>
                <w:kern w:val="0"/>
                <w:szCs w:val="21"/>
                <w:highlight w:val="none"/>
              </w:rPr>
            </w:pPr>
            <w:r>
              <w:rPr>
                <w:color w:val="auto"/>
                <w:kern w:val="0"/>
                <w:szCs w:val="21"/>
                <w:highlight w:val="none"/>
              </w:rPr>
              <w:t>符合环保要求，对周围环境不造成明显影响</w:t>
            </w:r>
          </w:p>
        </w:tc>
      </w:tr>
      <w:tr w14:paraId="2103E1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6256ECA0">
            <w:pPr>
              <w:jc w:val="center"/>
              <w:rPr>
                <w:color w:val="auto"/>
                <w:szCs w:val="21"/>
                <w:highlight w:val="none"/>
              </w:rPr>
            </w:pPr>
          </w:p>
        </w:tc>
        <w:tc>
          <w:tcPr>
            <w:tcW w:w="513" w:type="dxa"/>
            <w:vMerge w:val="restart"/>
            <w:tcBorders>
              <w:top w:val="single" w:color="auto" w:sz="4" w:space="0"/>
            </w:tcBorders>
            <w:shd w:val="clear" w:color="auto" w:fill="auto"/>
            <w:tcMar>
              <w:top w:w="0" w:type="dxa"/>
              <w:left w:w="57" w:type="dxa"/>
              <w:bottom w:w="0" w:type="dxa"/>
              <w:right w:w="51" w:type="dxa"/>
            </w:tcMar>
            <w:vAlign w:val="center"/>
          </w:tcPr>
          <w:p w14:paraId="2F555697">
            <w:pPr>
              <w:autoSpaceDE w:val="0"/>
              <w:autoSpaceDN w:val="0"/>
              <w:adjustRightInd w:val="0"/>
              <w:jc w:val="center"/>
              <w:rPr>
                <w:color w:val="auto"/>
                <w:kern w:val="0"/>
                <w:szCs w:val="21"/>
                <w:highlight w:val="none"/>
              </w:rPr>
            </w:pPr>
            <w:r>
              <w:rPr>
                <w:color w:val="auto"/>
                <w:kern w:val="0"/>
                <w:szCs w:val="21"/>
                <w:highlight w:val="none"/>
              </w:rPr>
              <w:t>一般工业固废</w:t>
            </w:r>
          </w:p>
        </w:tc>
        <w:tc>
          <w:tcPr>
            <w:tcW w:w="2182" w:type="dxa"/>
            <w:gridSpan w:val="2"/>
            <w:tcBorders>
              <w:top w:val="single" w:color="auto" w:sz="4" w:space="0"/>
              <w:bottom w:val="single" w:color="auto" w:sz="4" w:space="0"/>
            </w:tcBorders>
            <w:shd w:val="clear" w:color="auto" w:fill="auto"/>
            <w:tcMar>
              <w:top w:w="0" w:type="dxa"/>
              <w:left w:w="57" w:type="dxa"/>
              <w:bottom w:w="0" w:type="dxa"/>
              <w:right w:w="51" w:type="dxa"/>
            </w:tcMar>
            <w:vAlign w:val="center"/>
          </w:tcPr>
          <w:p w14:paraId="7F81CCC4">
            <w:pPr>
              <w:jc w:val="center"/>
              <w:rPr>
                <w:rFonts w:hint="default" w:eastAsia="宋体"/>
                <w:color w:val="auto"/>
                <w:szCs w:val="21"/>
                <w:highlight w:val="none"/>
                <w:lang w:val="en-US" w:eastAsia="zh-CN"/>
              </w:rPr>
            </w:pPr>
            <w:r>
              <w:rPr>
                <w:rFonts w:hint="eastAsia"/>
                <w:color w:val="auto"/>
                <w:szCs w:val="21"/>
                <w:highlight w:val="none"/>
                <w:lang w:val="en-US" w:eastAsia="zh-CN"/>
              </w:rPr>
              <w:t>塑料配件次品</w:t>
            </w:r>
          </w:p>
        </w:tc>
        <w:tc>
          <w:tcPr>
            <w:tcW w:w="2188" w:type="dxa"/>
            <w:vMerge w:val="restart"/>
            <w:tcBorders>
              <w:top w:val="single" w:color="auto" w:sz="4" w:space="0"/>
            </w:tcBorders>
            <w:shd w:val="clear" w:color="auto" w:fill="auto"/>
            <w:tcMar>
              <w:top w:w="0" w:type="dxa"/>
              <w:left w:w="57" w:type="dxa"/>
              <w:bottom w:w="0" w:type="dxa"/>
              <w:right w:w="51" w:type="dxa"/>
            </w:tcMar>
            <w:vAlign w:val="center"/>
          </w:tcPr>
          <w:p w14:paraId="10503EA9">
            <w:pPr>
              <w:autoSpaceDE w:val="0"/>
              <w:autoSpaceDN w:val="0"/>
              <w:adjustRightInd w:val="0"/>
              <w:jc w:val="center"/>
              <w:rPr>
                <w:rFonts w:ascii="Times New Roman" w:hAnsi="Times New Roman" w:eastAsia="宋体" w:cs="Times New Roman"/>
                <w:color w:val="auto"/>
                <w:kern w:val="0"/>
                <w:sz w:val="21"/>
                <w:szCs w:val="21"/>
                <w:highlight w:val="none"/>
                <w:lang w:val="en-US" w:eastAsia="zh-CN" w:bidi="ar-SA"/>
              </w:rPr>
            </w:pPr>
            <w:r>
              <w:rPr>
                <w:color w:val="auto"/>
                <w:szCs w:val="21"/>
                <w:highlight w:val="none"/>
              </w:rPr>
              <w:t>集中收集后交给有一般固体废物处理能力的单位处理</w:t>
            </w: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276CE84A">
            <w:pPr>
              <w:autoSpaceDE w:val="0"/>
              <w:autoSpaceDN w:val="0"/>
              <w:adjustRightInd w:val="0"/>
              <w:jc w:val="center"/>
              <w:rPr>
                <w:color w:val="auto"/>
                <w:kern w:val="0"/>
                <w:szCs w:val="21"/>
                <w:highlight w:val="none"/>
              </w:rPr>
            </w:pPr>
          </w:p>
        </w:tc>
      </w:tr>
      <w:tr w14:paraId="242379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7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3EE218F4">
            <w:pPr>
              <w:jc w:val="center"/>
              <w:rPr>
                <w:color w:val="auto"/>
                <w:szCs w:val="21"/>
                <w:highlight w:val="none"/>
              </w:rPr>
            </w:pPr>
          </w:p>
        </w:tc>
        <w:tc>
          <w:tcPr>
            <w:tcW w:w="513" w:type="dxa"/>
            <w:vMerge w:val="continue"/>
            <w:tcBorders/>
            <w:shd w:val="clear" w:color="auto" w:fill="auto"/>
            <w:tcMar>
              <w:top w:w="0" w:type="dxa"/>
              <w:left w:w="57" w:type="dxa"/>
              <w:bottom w:w="0" w:type="dxa"/>
              <w:right w:w="51" w:type="dxa"/>
            </w:tcMar>
            <w:vAlign w:val="center"/>
          </w:tcPr>
          <w:p w14:paraId="2AF9EE81">
            <w:pPr>
              <w:autoSpaceDE w:val="0"/>
              <w:autoSpaceDN w:val="0"/>
              <w:adjustRightInd w:val="0"/>
              <w:jc w:val="center"/>
              <w:rPr>
                <w:color w:val="auto"/>
                <w:kern w:val="0"/>
                <w:szCs w:val="21"/>
                <w:highlight w:val="none"/>
              </w:rPr>
            </w:pPr>
          </w:p>
        </w:tc>
        <w:tc>
          <w:tcPr>
            <w:tcW w:w="2182" w:type="dxa"/>
            <w:gridSpan w:val="2"/>
            <w:tcBorders>
              <w:top w:val="single" w:color="auto" w:sz="4" w:space="0"/>
              <w:bottom w:val="single" w:color="auto" w:sz="4" w:space="0"/>
            </w:tcBorders>
            <w:shd w:val="clear" w:color="auto" w:fill="auto"/>
            <w:tcMar>
              <w:top w:w="0" w:type="dxa"/>
              <w:left w:w="57" w:type="dxa"/>
              <w:bottom w:w="0" w:type="dxa"/>
              <w:right w:w="51" w:type="dxa"/>
            </w:tcMar>
            <w:vAlign w:val="center"/>
          </w:tcPr>
          <w:p w14:paraId="4969EB65">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一般废包装袋</w:t>
            </w:r>
          </w:p>
        </w:tc>
        <w:tc>
          <w:tcPr>
            <w:tcW w:w="2188" w:type="dxa"/>
            <w:vMerge w:val="continue"/>
            <w:tcBorders/>
            <w:shd w:val="clear" w:color="auto" w:fill="auto"/>
            <w:tcMar>
              <w:top w:w="0" w:type="dxa"/>
              <w:left w:w="57" w:type="dxa"/>
              <w:bottom w:w="0" w:type="dxa"/>
              <w:right w:w="51" w:type="dxa"/>
            </w:tcMar>
            <w:vAlign w:val="center"/>
          </w:tcPr>
          <w:p w14:paraId="5A362417">
            <w:pPr>
              <w:autoSpaceDE w:val="0"/>
              <w:autoSpaceDN w:val="0"/>
              <w:adjustRightInd w:val="0"/>
              <w:jc w:val="center"/>
              <w:rPr>
                <w:rFonts w:ascii="Times New Roman" w:hAnsi="Times New Roman" w:eastAsia="宋体" w:cs="Times New Roman"/>
                <w:color w:val="auto"/>
                <w:kern w:val="0"/>
                <w:sz w:val="21"/>
                <w:szCs w:val="21"/>
                <w:highlight w:val="none"/>
                <w:lang w:val="en-US" w:eastAsia="zh-CN" w:bidi="ar-SA"/>
              </w:rPr>
            </w:pP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0F04C32A">
            <w:pPr>
              <w:autoSpaceDE w:val="0"/>
              <w:autoSpaceDN w:val="0"/>
              <w:adjustRightInd w:val="0"/>
              <w:jc w:val="center"/>
              <w:rPr>
                <w:color w:val="auto"/>
                <w:kern w:val="0"/>
                <w:szCs w:val="21"/>
                <w:highlight w:val="none"/>
              </w:rPr>
            </w:pPr>
          </w:p>
        </w:tc>
      </w:tr>
      <w:tr w14:paraId="151EDF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23AA4C38">
            <w:pPr>
              <w:jc w:val="center"/>
              <w:rPr>
                <w:color w:val="auto"/>
                <w:szCs w:val="21"/>
                <w:highlight w:val="none"/>
              </w:rPr>
            </w:pPr>
          </w:p>
        </w:tc>
        <w:tc>
          <w:tcPr>
            <w:tcW w:w="513" w:type="dxa"/>
            <w:vMerge w:val="restart"/>
            <w:tcBorders>
              <w:top w:val="single" w:color="auto" w:sz="4" w:space="0"/>
              <w:left w:val="single" w:color="auto" w:sz="4" w:space="0"/>
              <w:right w:val="single" w:color="auto" w:sz="4" w:space="0"/>
            </w:tcBorders>
            <w:shd w:val="clear" w:color="auto" w:fill="auto"/>
            <w:tcMar>
              <w:top w:w="0" w:type="dxa"/>
              <w:left w:w="57" w:type="dxa"/>
              <w:bottom w:w="0" w:type="dxa"/>
              <w:right w:w="51" w:type="dxa"/>
            </w:tcMar>
            <w:vAlign w:val="center"/>
          </w:tcPr>
          <w:p w14:paraId="4BD44F42">
            <w:pPr>
              <w:jc w:val="center"/>
              <w:rPr>
                <w:color w:val="auto"/>
                <w:szCs w:val="21"/>
                <w:highlight w:val="none"/>
              </w:rPr>
            </w:pPr>
            <w:r>
              <w:rPr>
                <w:color w:val="auto"/>
                <w:szCs w:val="21"/>
                <w:highlight w:val="none"/>
              </w:rPr>
              <w:t>危险废物</w:t>
            </w:r>
          </w:p>
        </w:tc>
        <w:tc>
          <w:tcPr>
            <w:tcW w:w="2182" w:type="dxa"/>
            <w:gridSpan w:val="2"/>
            <w:tcBorders>
              <w:top w:val="single" w:color="auto" w:sz="4" w:space="0"/>
              <w:left w:val="single" w:color="auto" w:sz="4" w:space="0"/>
              <w:bottom w:val="single" w:color="auto" w:sz="4" w:space="0"/>
              <w:right w:val="single" w:color="auto" w:sz="4" w:space="0"/>
            </w:tcBorders>
            <w:shd w:val="clear" w:color="auto" w:fill="auto"/>
            <w:tcMar>
              <w:top w:w="0" w:type="dxa"/>
              <w:left w:w="57" w:type="dxa"/>
              <w:bottom w:w="0" w:type="dxa"/>
              <w:right w:w="51" w:type="dxa"/>
            </w:tcMar>
            <w:vAlign w:val="center"/>
          </w:tcPr>
          <w:p w14:paraId="3EDAD13C">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饱和活性炭</w:t>
            </w:r>
          </w:p>
        </w:tc>
        <w:tc>
          <w:tcPr>
            <w:tcW w:w="2188" w:type="dxa"/>
            <w:vMerge w:val="restart"/>
            <w:tcBorders>
              <w:top w:val="single" w:color="auto" w:sz="4" w:space="0"/>
              <w:left w:val="single" w:color="auto" w:sz="4" w:space="0"/>
              <w:right w:val="single" w:color="auto" w:sz="4" w:space="0"/>
            </w:tcBorders>
            <w:shd w:val="clear" w:color="auto" w:fill="auto"/>
            <w:tcMar>
              <w:top w:w="0" w:type="dxa"/>
              <w:left w:w="57" w:type="dxa"/>
              <w:bottom w:w="0" w:type="dxa"/>
              <w:right w:w="51" w:type="dxa"/>
            </w:tcMar>
            <w:vAlign w:val="center"/>
          </w:tcPr>
          <w:p w14:paraId="15C95543">
            <w:pPr>
              <w:autoSpaceDE w:val="0"/>
              <w:autoSpaceDN w:val="0"/>
              <w:adjustRightIn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交由具有相关危险废物经营许可证的单位处理</w:t>
            </w: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1D3D608F">
            <w:pPr>
              <w:jc w:val="center"/>
              <w:rPr>
                <w:color w:val="auto"/>
                <w:szCs w:val="21"/>
                <w:highlight w:val="none"/>
              </w:rPr>
            </w:pPr>
          </w:p>
        </w:tc>
      </w:tr>
      <w:tr w14:paraId="01F684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trHeight w:val="39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368E5CA8">
            <w:pPr>
              <w:jc w:val="center"/>
              <w:rPr>
                <w:color w:val="auto"/>
                <w:szCs w:val="21"/>
                <w:highlight w:val="none"/>
              </w:rPr>
            </w:pPr>
          </w:p>
        </w:tc>
        <w:tc>
          <w:tcPr>
            <w:tcW w:w="513"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4E3A7116">
            <w:pPr>
              <w:jc w:val="center"/>
              <w:rPr>
                <w:color w:val="auto"/>
                <w:szCs w:val="21"/>
                <w:highlight w:val="none"/>
              </w:rPr>
            </w:pPr>
          </w:p>
        </w:tc>
        <w:tc>
          <w:tcPr>
            <w:tcW w:w="2182" w:type="dxa"/>
            <w:gridSpan w:val="2"/>
            <w:tcBorders>
              <w:top w:val="single" w:color="auto" w:sz="4" w:space="0"/>
              <w:left w:val="single" w:color="auto" w:sz="4" w:space="0"/>
              <w:bottom w:val="single" w:color="auto" w:sz="4" w:space="0"/>
              <w:right w:val="single" w:color="auto" w:sz="4" w:space="0"/>
            </w:tcBorders>
            <w:shd w:val="clear" w:color="auto" w:fill="auto"/>
            <w:tcMar>
              <w:top w:w="0" w:type="dxa"/>
              <w:left w:w="57" w:type="dxa"/>
              <w:bottom w:w="0" w:type="dxa"/>
              <w:right w:w="51" w:type="dxa"/>
            </w:tcMar>
            <w:vAlign w:val="center"/>
          </w:tcPr>
          <w:p w14:paraId="55EBFED1">
            <w:pPr>
              <w:widowControl/>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废弃包装桶（环氧树脂AB胶、机油）</w:t>
            </w:r>
          </w:p>
        </w:tc>
        <w:tc>
          <w:tcPr>
            <w:tcW w:w="2188"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33328477">
            <w:pPr>
              <w:autoSpaceDE w:val="0"/>
              <w:autoSpaceDN w:val="0"/>
              <w:adjustRightInd w:val="0"/>
              <w:jc w:val="center"/>
              <w:rPr>
                <w:rFonts w:ascii="Times New Roman" w:hAnsi="Times New Roman" w:eastAsia="宋体" w:cs="Times New Roman"/>
                <w:color w:val="auto"/>
                <w:szCs w:val="21"/>
                <w:highlight w:val="none"/>
              </w:rPr>
            </w:pP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0B732F7B">
            <w:pPr>
              <w:jc w:val="center"/>
              <w:rPr>
                <w:color w:val="auto"/>
                <w:szCs w:val="21"/>
                <w:highlight w:val="none"/>
              </w:rPr>
            </w:pPr>
          </w:p>
        </w:tc>
      </w:tr>
      <w:tr w14:paraId="60A32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50DCA86F">
            <w:pPr>
              <w:jc w:val="center"/>
              <w:rPr>
                <w:color w:val="auto"/>
                <w:szCs w:val="21"/>
                <w:highlight w:val="none"/>
              </w:rPr>
            </w:pPr>
          </w:p>
        </w:tc>
        <w:tc>
          <w:tcPr>
            <w:tcW w:w="513"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5680F63B">
            <w:pPr>
              <w:jc w:val="center"/>
              <w:rPr>
                <w:color w:val="auto"/>
                <w:szCs w:val="21"/>
                <w:highlight w:val="none"/>
              </w:rPr>
            </w:pPr>
          </w:p>
        </w:tc>
        <w:tc>
          <w:tcPr>
            <w:tcW w:w="2182" w:type="dxa"/>
            <w:gridSpan w:val="2"/>
            <w:tcBorders>
              <w:top w:val="single" w:color="auto" w:sz="4" w:space="0"/>
              <w:left w:val="single" w:color="auto" w:sz="4" w:space="0"/>
              <w:bottom w:val="single" w:color="auto" w:sz="4" w:space="0"/>
              <w:right w:val="single" w:color="auto" w:sz="4" w:space="0"/>
            </w:tcBorders>
            <w:shd w:val="clear" w:color="auto" w:fill="auto"/>
            <w:tcMar>
              <w:top w:w="0" w:type="dxa"/>
              <w:left w:w="57" w:type="dxa"/>
              <w:bottom w:w="0" w:type="dxa"/>
              <w:right w:w="51" w:type="dxa"/>
            </w:tcMar>
            <w:vAlign w:val="center"/>
          </w:tcPr>
          <w:p w14:paraId="74B41C77">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废</w:t>
            </w:r>
            <w:r>
              <w:rPr>
                <w:rFonts w:hint="eastAsia"/>
                <w:color w:val="auto"/>
                <w:szCs w:val="21"/>
                <w:highlight w:val="none"/>
              </w:rPr>
              <w:t>机油</w:t>
            </w:r>
          </w:p>
        </w:tc>
        <w:tc>
          <w:tcPr>
            <w:tcW w:w="2188"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5EAAD9C6">
            <w:pPr>
              <w:autoSpaceDE w:val="0"/>
              <w:autoSpaceDN w:val="0"/>
              <w:adjustRightInd w:val="0"/>
              <w:jc w:val="center"/>
              <w:rPr>
                <w:rFonts w:ascii="Times New Roman" w:hAnsi="Times New Roman" w:eastAsia="宋体" w:cs="Times New Roman"/>
                <w:color w:val="auto"/>
                <w:szCs w:val="21"/>
                <w:highlight w:val="none"/>
              </w:rPr>
            </w:pP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3AD1CF44">
            <w:pPr>
              <w:jc w:val="center"/>
              <w:rPr>
                <w:color w:val="auto"/>
                <w:szCs w:val="21"/>
                <w:highlight w:val="none"/>
              </w:rPr>
            </w:pPr>
          </w:p>
        </w:tc>
      </w:tr>
      <w:tr w14:paraId="0A7924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3C2B3372">
            <w:pPr>
              <w:jc w:val="center"/>
              <w:rPr>
                <w:color w:val="auto"/>
                <w:szCs w:val="21"/>
                <w:highlight w:val="none"/>
              </w:rPr>
            </w:pPr>
          </w:p>
        </w:tc>
        <w:tc>
          <w:tcPr>
            <w:tcW w:w="513"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33710DD9">
            <w:pPr>
              <w:jc w:val="center"/>
              <w:rPr>
                <w:color w:val="auto"/>
                <w:szCs w:val="21"/>
                <w:highlight w:val="none"/>
              </w:rPr>
            </w:pPr>
          </w:p>
        </w:tc>
        <w:tc>
          <w:tcPr>
            <w:tcW w:w="2182" w:type="dxa"/>
            <w:gridSpan w:val="2"/>
            <w:tcBorders>
              <w:top w:val="single" w:color="auto" w:sz="4" w:space="0"/>
              <w:left w:val="single" w:color="auto" w:sz="4" w:space="0"/>
              <w:bottom w:val="single" w:color="auto" w:sz="4" w:space="0"/>
              <w:right w:val="single" w:color="auto" w:sz="4" w:space="0"/>
            </w:tcBorders>
            <w:shd w:val="clear" w:color="auto" w:fill="auto"/>
            <w:tcMar>
              <w:top w:w="0" w:type="dxa"/>
              <w:left w:w="57" w:type="dxa"/>
              <w:bottom w:w="0" w:type="dxa"/>
              <w:right w:w="51" w:type="dxa"/>
            </w:tcMar>
            <w:vAlign w:val="center"/>
          </w:tcPr>
          <w:p w14:paraId="433F8544">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含油废抹布及手套</w:t>
            </w:r>
          </w:p>
        </w:tc>
        <w:tc>
          <w:tcPr>
            <w:tcW w:w="2188"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00F93C17">
            <w:pPr>
              <w:autoSpaceDE w:val="0"/>
              <w:autoSpaceDN w:val="0"/>
              <w:adjustRightInd w:val="0"/>
              <w:jc w:val="center"/>
              <w:rPr>
                <w:rFonts w:ascii="Times New Roman" w:hAnsi="Times New Roman" w:eastAsia="宋体" w:cs="Times New Roman"/>
                <w:color w:val="auto"/>
                <w:szCs w:val="21"/>
                <w:highlight w:val="none"/>
              </w:rPr>
            </w:pP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1773D6AE">
            <w:pPr>
              <w:jc w:val="center"/>
              <w:rPr>
                <w:color w:val="auto"/>
                <w:szCs w:val="21"/>
                <w:highlight w:val="none"/>
              </w:rPr>
            </w:pPr>
          </w:p>
        </w:tc>
      </w:tr>
      <w:tr w14:paraId="3B34B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8" w:type="dxa"/>
            <w:vMerge w:val="continue"/>
            <w:tcBorders>
              <w:left w:val="single" w:color="auto" w:sz="4" w:space="0"/>
            </w:tcBorders>
            <w:shd w:val="clear" w:color="auto" w:fill="auto"/>
            <w:tcMar>
              <w:top w:w="0" w:type="dxa"/>
              <w:left w:w="57" w:type="dxa"/>
              <w:bottom w:w="0" w:type="dxa"/>
              <w:right w:w="51" w:type="dxa"/>
            </w:tcMar>
            <w:vAlign w:val="center"/>
          </w:tcPr>
          <w:p w14:paraId="4E409D5C">
            <w:pPr>
              <w:jc w:val="center"/>
              <w:rPr>
                <w:color w:val="auto"/>
                <w:szCs w:val="21"/>
                <w:highlight w:val="none"/>
              </w:rPr>
            </w:pPr>
          </w:p>
        </w:tc>
        <w:tc>
          <w:tcPr>
            <w:tcW w:w="513"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71939299">
            <w:pPr>
              <w:jc w:val="center"/>
              <w:rPr>
                <w:color w:val="auto"/>
                <w:szCs w:val="21"/>
                <w:highlight w:val="none"/>
              </w:rPr>
            </w:pPr>
          </w:p>
        </w:tc>
        <w:tc>
          <w:tcPr>
            <w:tcW w:w="2182" w:type="dxa"/>
            <w:gridSpan w:val="2"/>
            <w:tcBorders>
              <w:top w:val="single" w:color="auto" w:sz="4" w:space="0"/>
              <w:left w:val="single" w:color="auto" w:sz="4" w:space="0"/>
              <w:bottom w:val="single" w:color="auto" w:sz="4" w:space="0"/>
              <w:right w:val="single" w:color="auto" w:sz="4" w:space="0"/>
            </w:tcBorders>
            <w:shd w:val="clear" w:color="auto" w:fill="auto"/>
            <w:tcMar>
              <w:top w:w="0" w:type="dxa"/>
              <w:left w:w="57" w:type="dxa"/>
              <w:bottom w:w="0" w:type="dxa"/>
              <w:right w:w="51" w:type="dxa"/>
            </w:tcMar>
            <w:vAlign w:val="center"/>
          </w:tcPr>
          <w:p w14:paraId="5288DA11">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色粉包装袋</w:t>
            </w:r>
          </w:p>
        </w:tc>
        <w:tc>
          <w:tcPr>
            <w:tcW w:w="2188" w:type="dxa"/>
            <w:vMerge w:val="continue"/>
            <w:tcBorders>
              <w:left w:val="single" w:color="auto" w:sz="4" w:space="0"/>
              <w:right w:val="single" w:color="auto" w:sz="4" w:space="0"/>
            </w:tcBorders>
            <w:shd w:val="clear" w:color="auto" w:fill="auto"/>
            <w:tcMar>
              <w:top w:w="0" w:type="dxa"/>
              <w:left w:w="57" w:type="dxa"/>
              <w:bottom w:w="0" w:type="dxa"/>
              <w:right w:w="51" w:type="dxa"/>
            </w:tcMar>
            <w:vAlign w:val="center"/>
          </w:tcPr>
          <w:p w14:paraId="25A0645B">
            <w:pPr>
              <w:autoSpaceDE w:val="0"/>
              <w:autoSpaceDN w:val="0"/>
              <w:adjustRightInd w:val="0"/>
              <w:jc w:val="center"/>
              <w:rPr>
                <w:rFonts w:ascii="Times New Roman" w:hAnsi="Times New Roman" w:eastAsia="宋体" w:cs="Times New Roman"/>
                <w:color w:val="auto"/>
                <w:szCs w:val="21"/>
                <w:highlight w:val="none"/>
              </w:rPr>
            </w:pPr>
          </w:p>
        </w:tc>
        <w:tc>
          <w:tcPr>
            <w:tcW w:w="3859" w:type="dxa"/>
            <w:vMerge w:val="continue"/>
            <w:tcBorders>
              <w:right w:val="single" w:color="auto" w:sz="4" w:space="0"/>
            </w:tcBorders>
            <w:shd w:val="clear" w:color="auto" w:fill="auto"/>
            <w:tcMar>
              <w:top w:w="0" w:type="dxa"/>
              <w:left w:w="57" w:type="dxa"/>
              <w:bottom w:w="0" w:type="dxa"/>
              <w:right w:w="51" w:type="dxa"/>
            </w:tcMar>
            <w:vAlign w:val="center"/>
          </w:tcPr>
          <w:p w14:paraId="383FB523">
            <w:pPr>
              <w:jc w:val="center"/>
              <w:rPr>
                <w:color w:val="auto"/>
                <w:szCs w:val="21"/>
                <w:highlight w:val="none"/>
              </w:rPr>
            </w:pPr>
          </w:p>
        </w:tc>
      </w:tr>
      <w:tr w14:paraId="65A060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13" w:type="dxa"/>
            <w:gridSpan w:val="4"/>
            <w:shd w:val="clear" w:color="auto" w:fill="auto"/>
            <w:vAlign w:val="center"/>
          </w:tcPr>
          <w:p w14:paraId="323EFCA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土壤及地下水污染防治措施</w:t>
            </w:r>
          </w:p>
        </w:tc>
        <w:tc>
          <w:tcPr>
            <w:tcW w:w="6047" w:type="dxa"/>
            <w:gridSpan w:val="2"/>
            <w:shd w:val="clear" w:color="auto" w:fill="auto"/>
            <w:vAlign w:val="center"/>
          </w:tcPr>
          <w:p w14:paraId="4AB51C7D">
            <w:pPr>
              <w:adjustRightInd w:val="0"/>
              <w:snapToGrid w:val="0"/>
              <w:rPr>
                <w:color w:val="auto"/>
                <w:szCs w:val="21"/>
              </w:rPr>
            </w:pPr>
            <w:r>
              <w:rPr>
                <w:color w:val="auto"/>
                <w:szCs w:val="21"/>
              </w:rPr>
              <w:t>（1）原辅材料分类密封储存，液体原料底部设置防泄漏托盘、围堰，地面做硬化、防渗处理。</w:t>
            </w:r>
          </w:p>
          <w:p w14:paraId="10AA2357">
            <w:pPr>
              <w:adjustRightInd w:val="0"/>
              <w:snapToGrid w:val="0"/>
              <w:rPr>
                <w:color w:val="auto"/>
                <w:szCs w:val="21"/>
              </w:rPr>
            </w:pPr>
            <w:r>
              <w:rPr>
                <w:color w:val="auto"/>
                <w:szCs w:val="21"/>
              </w:rPr>
              <w:t>（2）一般工业固废暂存仓按照相关要求规范建设和维护使用。</w:t>
            </w:r>
          </w:p>
          <w:p w14:paraId="55D0CEAE">
            <w:pPr>
              <w:adjustRightInd w:val="0"/>
              <w:snapToGrid w:val="0"/>
              <w:rPr>
                <w:color w:val="auto"/>
                <w:szCs w:val="21"/>
              </w:rPr>
            </w:pPr>
            <w:r>
              <w:rPr>
                <w:color w:val="auto"/>
                <w:szCs w:val="21"/>
              </w:rPr>
              <w:t>（3）危险废物</w:t>
            </w:r>
            <w:r>
              <w:rPr>
                <w:rFonts w:hint="eastAsia"/>
                <w:color w:val="auto"/>
                <w:szCs w:val="21"/>
              </w:rPr>
              <w:t>、液态化学品</w:t>
            </w:r>
            <w:r>
              <w:rPr>
                <w:color w:val="auto"/>
                <w:szCs w:val="21"/>
              </w:rPr>
              <w:t>分类密封暂存，危险废物暂存仓做好硬化处理，刷地坪漆防渗，设置围堰，并按照规范设置标志牌。收集的危险废物均委托有资质单位专门收运和处置</w:t>
            </w:r>
            <w:r>
              <w:rPr>
                <w:rFonts w:hint="eastAsia"/>
                <w:color w:val="auto"/>
                <w:szCs w:val="21"/>
              </w:rPr>
              <w:t>，液态化学品仓使用</w:t>
            </w:r>
            <w:r>
              <w:rPr>
                <w:color w:val="auto"/>
                <w:szCs w:val="21"/>
              </w:rPr>
              <w:t>防渗漏托盘</w:t>
            </w:r>
            <w:r>
              <w:rPr>
                <w:rFonts w:hint="eastAsia"/>
                <w:color w:val="auto"/>
                <w:szCs w:val="21"/>
              </w:rPr>
              <w:t>、门口设置围堰、</w:t>
            </w:r>
            <w:r>
              <w:rPr>
                <w:color w:val="auto"/>
                <w:szCs w:val="21"/>
              </w:rPr>
              <w:t>地面做硬化、防渗处理；仓库做出入库记录，配套泄漏、吸附、收容等物资。</w:t>
            </w:r>
          </w:p>
          <w:p w14:paraId="619CF404">
            <w:pPr>
              <w:adjustRightInd w:val="0"/>
              <w:snapToGrid w:val="0"/>
              <w:rPr>
                <w:color w:val="auto"/>
              </w:rPr>
            </w:pPr>
            <w:r>
              <w:rPr>
                <w:color w:val="auto"/>
              </w:rPr>
              <w:t>（4）项目车间大门设置缓坡或挡板，发生突发环境事故时可将消防废水截留于生产车间内暂存。此外，项目应设置事故收集系统对事故废水进行收集储存。</w:t>
            </w:r>
          </w:p>
          <w:p w14:paraId="1D8D7320">
            <w:pPr>
              <w:adjustRightInd w:val="0"/>
              <w:snapToGrid w:val="0"/>
              <w:rPr>
                <w:rFonts w:ascii="Times New Roman" w:hAnsi="Times New Roman" w:eastAsia="宋体" w:cs="Times New Roman"/>
                <w:color w:val="auto"/>
                <w:kern w:val="2"/>
                <w:sz w:val="21"/>
                <w:szCs w:val="21"/>
                <w:lang w:val="en-US" w:eastAsia="zh-CN" w:bidi="ar-SA"/>
              </w:rPr>
            </w:pPr>
            <w:r>
              <w:rPr>
                <w:color w:val="auto"/>
              </w:rPr>
              <w:t>（5）定期对废气治理设施进行检测和维修，降低因设备故障造成的事故排放的概率。一旦发生设备故障，生产线立即停机，直到故障点完成维修为止。</w:t>
            </w:r>
          </w:p>
        </w:tc>
      </w:tr>
      <w:tr w14:paraId="4E759E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3013" w:type="dxa"/>
            <w:gridSpan w:val="4"/>
            <w:shd w:val="clear" w:color="auto" w:fill="auto"/>
            <w:vAlign w:val="center"/>
          </w:tcPr>
          <w:p w14:paraId="7D3533BA">
            <w:pPr>
              <w:adjustRightInd w:val="0"/>
              <w:snapToGrid w:val="0"/>
              <w:jc w:val="center"/>
              <w:rPr>
                <w:color w:val="auto"/>
                <w:szCs w:val="21"/>
                <w:highlight w:val="none"/>
              </w:rPr>
            </w:pPr>
            <w:r>
              <w:rPr>
                <w:color w:val="auto"/>
                <w:szCs w:val="21"/>
                <w:highlight w:val="none"/>
              </w:rPr>
              <w:t>生态保护措施</w:t>
            </w:r>
          </w:p>
        </w:tc>
        <w:tc>
          <w:tcPr>
            <w:tcW w:w="6047" w:type="dxa"/>
            <w:gridSpan w:val="2"/>
            <w:shd w:val="clear" w:color="auto" w:fill="auto"/>
            <w:vAlign w:val="center"/>
          </w:tcPr>
          <w:p w14:paraId="66F3C47A">
            <w:pPr>
              <w:adjustRightInd w:val="0"/>
              <w:snapToGrid w:val="0"/>
              <w:jc w:val="center"/>
              <w:rPr>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w:t>
            </w:r>
          </w:p>
        </w:tc>
      </w:tr>
      <w:tr w14:paraId="324BF5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3013" w:type="dxa"/>
            <w:gridSpan w:val="4"/>
            <w:shd w:val="clear" w:color="auto" w:fill="auto"/>
            <w:vAlign w:val="center"/>
          </w:tcPr>
          <w:p w14:paraId="63DA3856">
            <w:pPr>
              <w:adjustRightInd w:val="0"/>
              <w:snapToGrid w:val="0"/>
              <w:jc w:val="center"/>
              <w:rPr>
                <w:color w:val="auto"/>
                <w:spacing w:val="-8"/>
                <w:szCs w:val="21"/>
                <w:highlight w:val="none"/>
              </w:rPr>
            </w:pPr>
            <w:r>
              <w:rPr>
                <w:color w:val="auto"/>
                <w:spacing w:val="-8"/>
                <w:szCs w:val="21"/>
                <w:highlight w:val="none"/>
              </w:rPr>
              <w:t>环境风险防范措施</w:t>
            </w:r>
          </w:p>
        </w:tc>
        <w:tc>
          <w:tcPr>
            <w:tcW w:w="6047" w:type="dxa"/>
            <w:gridSpan w:val="2"/>
            <w:shd w:val="clear" w:color="auto" w:fill="auto"/>
            <w:vAlign w:val="center"/>
          </w:tcPr>
          <w:p w14:paraId="0A2224A0">
            <w:pPr>
              <w:adjustRightInd w:val="0"/>
              <w:snapToGrid w:val="0"/>
              <w:jc w:val="center"/>
              <w:rPr>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①定期检查固废和原辅材料包装是否完整，避免包装桶破裂引起易燃液体泄漏；②严格执行安全和消防规范。车间内合理布置各生产装置，预留足够的安全距离，以利于消防和疏散；③严格按防火、防爆设计规范的要求进行设计，配置相应的灭火装置和设施，设置火灾报警系统，以便自动预警和及时组织灭火扑救；④</w:t>
            </w:r>
            <w:r>
              <w:rPr>
                <w:rFonts w:hint="default" w:ascii="Times New Roman" w:hAnsi="Times New Roman" w:eastAsia="宋体" w:cs="Times New Roman"/>
                <w:color w:val="auto"/>
                <w:szCs w:val="21"/>
                <w:highlight w:val="none"/>
                <w:lang w:eastAsia="ja-JP"/>
              </w:rPr>
              <w:t>定期对</w:t>
            </w:r>
            <w:r>
              <w:rPr>
                <w:rFonts w:hint="default" w:ascii="Times New Roman" w:hAnsi="Times New Roman" w:eastAsia="宋体" w:cs="Times New Roman"/>
                <w:color w:val="auto"/>
                <w:szCs w:val="21"/>
                <w:highlight w:val="none"/>
              </w:rPr>
              <w:t>废气治理</w:t>
            </w:r>
            <w:r>
              <w:rPr>
                <w:rFonts w:hint="default" w:ascii="Times New Roman" w:hAnsi="Times New Roman" w:eastAsia="宋体" w:cs="Times New Roman"/>
                <w:color w:val="auto"/>
                <w:szCs w:val="21"/>
                <w:highlight w:val="none"/>
                <w:lang w:eastAsia="ja-JP"/>
              </w:rPr>
              <w:t>设施进行线路、管道、机械检查，遇不良工作状况立即停止车间相关作业，杜绝事故性废气直排；定期对废气处理系统进行检修和保养，确保设备处于良好状态，使设备达到预期的处理效果；对活性炭进行定期更换，保证活性炭的吸附率</w:t>
            </w:r>
            <w:r>
              <w:rPr>
                <w:rFonts w:hint="default" w:ascii="Times New Roman" w:hAnsi="Times New Roman" w:eastAsia="宋体" w:cs="Times New Roman"/>
                <w:color w:val="auto"/>
                <w:szCs w:val="21"/>
                <w:highlight w:val="none"/>
              </w:rPr>
              <w:t>；⑤原辅材料仓、危废仓，防止雨淋设施、防渗漏设施、对液体、半液体的危险废物用密闭容器存放、原辅材料仓和危废仓设置围堰。事故废水收集后统一交给具有废水处理能力的公司转移处理；⑥建立安全操作规程和管理制度，接受安全生产监督管理部门和消防部门的监督管理，杜绝泄漏、火灾和爆炸等安全事故；并在投入生产前制定和落实环境应急预案。</w:t>
            </w:r>
          </w:p>
        </w:tc>
      </w:tr>
      <w:tr w14:paraId="6CF66F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3013" w:type="dxa"/>
            <w:gridSpan w:val="4"/>
            <w:shd w:val="clear" w:color="auto" w:fill="auto"/>
            <w:vAlign w:val="center"/>
          </w:tcPr>
          <w:p w14:paraId="162E5D52">
            <w:pPr>
              <w:adjustRightInd w:val="0"/>
              <w:snapToGrid w:val="0"/>
              <w:jc w:val="center"/>
              <w:rPr>
                <w:color w:val="auto"/>
                <w:spacing w:val="-8"/>
                <w:szCs w:val="21"/>
                <w:highlight w:val="none"/>
              </w:rPr>
            </w:pPr>
            <w:r>
              <w:rPr>
                <w:color w:val="auto"/>
                <w:spacing w:val="-8"/>
                <w:szCs w:val="21"/>
                <w:highlight w:val="none"/>
              </w:rPr>
              <w:t>其他环境管理要求</w:t>
            </w:r>
          </w:p>
        </w:tc>
        <w:tc>
          <w:tcPr>
            <w:tcW w:w="6047" w:type="dxa"/>
            <w:gridSpan w:val="2"/>
            <w:shd w:val="clear" w:color="auto" w:fill="auto"/>
            <w:vAlign w:val="center"/>
          </w:tcPr>
          <w:p w14:paraId="4630E858">
            <w:pPr>
              <w:adjustRightInd w:val="0"/>
              <w:snapToGrid w:val="0"/>
              <w:jc w:val="center"/>
              <w:rPr>
                <w:color w:val="auto"/>
                <w:szCs w:val="21"/>
                <w:highlight w:val="none"/>
              </w:rPr>
            </w:pPr>
            <w:r>
              <w:rPr>
                <w:color w:val="auto"/>
                <w:szCs w:val="21"/>
                <w:highlight w:val="none"/>
              </w:rPr>
              <w:t>/</w:t>
            </w:r>
          </w:p>
        </w:tc>
      </w:tr>
    </w:tbl>
    <w:p w14:paraId="60AEB8B5">
      <w:pPr>
        <w:pStyle w:val="61"/>
        <w:jc w:val="center"/>
        <w:outlineLvl w:val="0"/>
        <w:rPr>
          <w:rFonts w:ascii="Times New Roman" w:hAnsi="Times New Roman" w:eastAsia="黑体"/>
          <w:snapToGrid w:val="0"/>
          <w:color w:val="auto"/>
          <w:sz w:val="30"/>
          <w:szCs w:val="30"/>
          <w:highlight w:val="none"/>
        </w:rPr>
      </w:pPr>
      <w:r>
        <w:rPr>
          <w:color w:val="auto"/>
        </w:rPr>
        <w:br w:type="page"/>
      </w:r>
      <w:r>
        <w:rPr>
          <w:rFonts w:ascii="Times New Roman" w:hAnsi="Times New Roman" w:eastAsia="黑体"/>
          <w:snapToGrid w:val="0"/>
          <w:color w:val="auto"/>
          <w:sz w:val="30"/>
          <w:szCs w:val="30"/>
          <w:highlight w:val="none"/>
        </w:rPr>
        <w:t>六、结论</w:t>
      </w:r>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865"/>
      </w:tblGrid>
      <w:tr w14:paraId="40DA3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991" w:hRule="atLeast"/>
          <w:jc w:val="center"/>
        </w:trPr>
        <w:tc>
          <w:tcPr>
            <w:tcW w:w="8865" w:type="dxa"/>
            <w:shd w:val="clear" w:color="auto" w:fill="auto"/>
            <w:vAlign w:val="center"/>
          </w:tcPr>
          <w:p w14:paraId="63252D56">
            <w:pPr>
              <w:spacing w:line="360" w:lineRule="auto"/>
              <w:ind w:firstLine="480" w:firstLineChars="200"/>
              <w:rPr>
                <w:rFonts w:hint="eastAsia" w:ascii="Times New Roman" w:hAnsi="Times New Roman" w:eastAsia="宋体" w:cs="Times New Roman"/>
                <w:color w:val="auto"/>
                <w:sz w:val="24"/>
                <w:highlight w:val="none"/>
              </w:rPr>
            </w:pPr>
            <w:r>
              <w:rPr>
                <w:rFonts w:hint="eastAsia"/>
                <w:color w:val="auto"/>
                <w:sz w:val="24"/>
                <w:highlight w:val="none"/>
              </w:rPr>
              <w:t>本项目在生产过程中会产生废气、噪声、固体废物等，在全面落实本报告表提出的各项环境保护措施的基础上，切实做到“三同时”，并在营运期内持之以恒加强环境管理的前提下，从环境保护角度，本项目环境影响可行。</w:t>
            </w:r>
          </w:p>
          <w:p w14:paraId="5FF7E373">
            <w:pPr>
              <w:spacing w:line="360" w:lineRule="auto"/>
              <w:ind w:firstLine="480" w:firstLineChars="200"/>
              <w:rPr>
                <w:rFonts w:hint="eastAsia"/>
                <w:color w:val="auto"/>
                <w:sz w:val="24"/>
                <w:highlight w:val="none"/>
              </w:rPr>
            </w:pPr>
          </w:p>
          <w:p w14:paraId="615A4C47">
            <w:pPr>
              <w:spacing w:line="360" w:lineRule="auto"/>
              <w:ind w:firstLine="480" w:firstLineChars="200"/>
              <w:rPr>
                <w:rFonts w:hint="eastAsia"/>
                <w:color w:val="auto"/>
                <w:sz w:val="24"/>
                <w:highlight w:val="none"/>
              </w:rPr>
            </w:pPr>
          </w:p>
          <w:p w14:paraId="38260282">
            <w:pPr>
              <w:spacing w:line="360" w:lineRule="auto"/>
              <w:ind w:firstLine="480" w:firstLineChars="200"/>
              <w:rPr>
                <w:rFonts w:hint="eastAsia"/>
                <w:color w:val="auto"/>
                <w:sz w:val="24"/>
                <w:highlight w:val="none"/>
              </w:rPr>
            </w:pPr>
          </w:p>
          <w:p w14:paraId="46A1D44E">
            <w:pPr>
              <w:spacing w:line="360" w:lineRule="auto"/>
              <w:ind w:firstLine="480" w:firstLineChars="200"/>
              <w:rPr>
                <w:rFonts w:hint="eastAsia"/>
                <w:color w:val="auto"/>
                <w:sz w:val="24"/>
                <w:highlight w:val="none"/>
              </w:rPr>
            </w:pPr>
          </w:p>
          <w:p w14:paraId="1C12E43E">
            <w:pPr>
              <w:spacing w:line="360" w:lineRule="auto"/>
              <w:ind w:firstLine="480" w:firstLineChars="200"/>
              <w:rPr>
                <w:rFonts w:hint="eastAsia"/>
                <w:color w:val="auto"/>
                <w:sz w:val="24"/>
                <w:highlight w:val="none"/>
              </w:rPr>
            </w:pPr>
          </w:p>
          <w:p w14:paraId="48F056ED">
            <w:pPr>
              <w:spacing w:line="360" w:lineRule="auto"/>
              <w:ind w:firstLine="480" w:firstLineChars="200"/>
              <w:rPr>
                <w:rFonts w:hint="eastAsia"/>
                <w:color w:val="auto"/>
                <w:sz w:val="24"/>
                <w:highlight w:val="none"/>
              </w:rPr>
            </w:pPr>
          </w:p>
          <w:p w14:paraId="27823FC4">
            <w:pPr>
              <w:spacing w:line="360" w:lineRule="auto"/>
              <w:ind w:firstLine="480" w:firstLineChars="200"/>
              <w:rPr>
                <w:rFonts w:hint="eastAsia"/>
                <w:color w:val="auto"/>
                <w:sz w:val="24"/>
                <w:highlight w:val="none"/>
              </w:rPr>
            </w:pPr>
          </w:p>
          <w:p w14:paraId="2FBC0D9E">
            <w:pPr>
              <w:spacing w:line="360" w:lineRule="auto"/>
              <w:ind w:firstLine="480" w:firstLineChars="200"/>
              <w:rPr>
                <w:rFonts w:hint="eastAsia"/>
                <w:color w:val="auto"/>
                <w:sz w:val="24"/>
                <w:highlight w:val="none"/>
              </w:rPr>
            </w:pPr>
          </w:p>
          <w:p w14:paraId="3BCA85E2">
            <w:pPr>
              <w:spacing w:line="360" w:lineRule="auto"/>
              <w:ind w:firstLine="480" w:firstLineChars="200"/>
              <w:rPr>
                <w:rFonts w:hint="eastAsia"/>
                <w:color w:val="auto"/>
                <w:sz w:val="24"/>
                <w:highlight w:val="none"/>
              </w:rPr>
            </w:pPr>
          </w:p>
          <w:p w14:paraId="527F0A15">
            <w:pPr>
              <w:spacing w:line="360" w:lineRule="auto"/>
              <w:ind w:firstLine="480" w:firstLineChars="200"/>
              <w:rPr>
                <w:rFonts w:hint="eastAsia"/>
                <w:color w:val="auto"/>
                <w:sz w:val="24"/>
                <w:highlight w:val="none"/>
              </w:rPr>
            </w:pPr>
          </w:p>
          <w:p w14:paraId="6D272BC4">
            <w:pPr>
              <w:spacing w:line="360" w:lineRule="auto"/>
              <w:ind w:firstLine="480" w:firstLineChars="200"/>
              <w:rPr>
                <w:rFonts w:hint="eastAsia"/>
                <w:color w:val="auto"/>
                <w:sz w:val="24"/>
                <w:highlight w:val="none"/>
              </w:rPr>
            </w:pPr>
          </w:p>
          <w:p w14:paraId="3189594E">
            <w:pPr>
              <w:spacing w:line="360" w:lineRule="auto"/>
              <w:ind w:firstLine="480" w:firstLineChars="200"/>
              <w:rPr>
                <w:rFonts w:hint="eastAsia"/>
                <w:color w:val="auto"/>
                <w:sz w:val="24"/>
                <w:highlight w:val="none"/>
              </w:rPr>
            </w:pPr>
          </w:p>
          <w:p w14:paraId="4026843B">
            <w:pPr>
              <w:spacing w:line="360" w:lineRule="auto"/>
              <w:ind w:firstLine="480" w:firstLineChars="200"/>
              <w:rPr>
                <w:rFonts w:hint="eastAsia"/>
                <w:color w:val="auto"/>
                <w:sz w:val="24"/>
                <w:highlight w:val="none"/>
              </w:rPr>
            </w:pPr>
          </w:p>
          <w:p w14:paraId="1A61F2DE">
            <w:pPr>
              <w:spacing w:line="360" w:lineRule="auto"/>
              <w:ind w:firstLine="480" w:firstLineChars="200"/>
              <w:rPr>
                <w:rFonts w:hint="eastAsia"/>
                <w:color w:val="auto"/>
                <w:sz w:val="24"/>
                <w:highlight w:val="none"/>
              </w:rPr>
            </w:pPr>
          </w:p>
          <w:p w14:paraId="4BC8F8E4">
            <w:pPr>
              <w:spacing w:line="360" w:lineRule="auto"/>
              <w:ind w:firstLine="480" w:firstLineChars="200"/>
              <w:rPr>
                <w:rFonts w:hint="eastAsia"/>
                <w:color w:val="auto"/>
                <w:sz w:val="24"/>
                <w:highlight w:val="none"/>
              </w:rPr>
            </w:pPr>
          </w:p>
          <w:p w14:paraId="4996351A">
            <w:pPr>
              <w:spacing w:line="360" w:lineRule="auto"/>
              <w:ind w:firstLine="480" w:firstLineChars="200"/>
              <w:rPr>
                <w:rFonts w:hint="eastAsia"/>
                <w:color w:val="auto"/>
                <w:sz w:val="24"/>
                <w:highlight w:val="none"/>
              </w:rPr>
            </w:pPr>
          </w:p>
          <w:p w14:paraId="2151A529">
            <w:pPr>
              <w:spacing w:line="360" w:lineRule="auto"/>
              <w:ind w:firstLine="480" w:firstLineChars="200"/>
              <w:rPr>
                <w:rFonts w:hint="eastAsia"/>
                <w:color w:val="auto"/>
                <w:sz w:val="24"/>
                <w:highlight w:val="none"/>
              </w:rPr>
            </w:pPr>
          </w:p>
          <w:p w14:paraId="2CD46D40">
            <w:pPr>
              <w:spacing w:line="360" w:lineRule="auto"/>
              <w:ind w:firstLine="480" w:firstLineChars="200"/>
              <w:rPr>
                <w:rFonts w:hint="eastAsia"/>
                <w:color w:val="auto"/>
                <w:sz w:val="24"/>
                <w:highlight w:val="none"/>
              </w:rPr>
            </w:pPr>
          </w:p>
          <w:p w14:paraId="678F8C86">
            <w:pPr>
              <w:spacing w:line="360" w:lineRule="auto"/>
              <w:ind w:firstLine="480" w:firstLineChars="200"/>
              <w:rPr>
                <w:rFonts w:hint="eastAsia"/>
                <w:color w:val="auto"/>
                <w:sz w:val="24"/>
                <w:highlight w:val="none"/>
              </w:rPr>
            </w:pPr>
          </w:p>
          <w:p w14:paraId="19F492DA">
            <w:pPr>
              <w:spacing w:line="360" w:lineRule="auto"/>
              <w:ind w:firstLine="480" w:firstLineChars="200"/>
              <w:rPr>
                <w:rFonts w:hint="eastAsia"/>
                <w:color w:val="auto"/>
                <w:sz w:val="24"/>
                <w:highlight w:val="none"/>
              </w:rPr>
            </w:pPr>
          </w:p>
          <w:p w14:paraId="6326BD6A">
            <w:pPr>
              <w:spacing w:line="360" w:lineRule="auto"/>
              <w:ind w:firstLine="480" w:firstLineChars="200"/>
              <w:rPr>
                <w:rFonts w:hint="eastAsia"/>
                <w:color w:val="auto"/>
                <w:sz w:val="24"/>
                <w:highlight w:val="none"/>
              </w:rPr>
            </w:pPr>
          </w:p>
          <w:p w14:paraId="61F45A66">
            <w:pPr>
              <w:spacing w:line="360" w:lineRule="auto"/>
              <w:ind w:firstLine="480" w:firstLineChars="200"/>
              <w:rPr>
                <w:rFonts w:hint="eastAsia"/>
                <w:color w:val="auto"/>
                <w:sz w:val="24"/>
                <w:highlight w:val="none"/>
              </w:rPr>
            </w:pPr>
          </w:p>
          <w:p w14:paraId="05B0B438">
            <w:pPr>
              <w:spacing w:line="360" w:lineRule="auto"/>
              <w:ind w:firstLine="480" w:firstLineChars="200"/>
              <w:rPr>
                <w:rFonts w:hint="eastAsia"/>
                <w:color w:val="auto"/>
                <w:sz w:val="24"/>
                <w:highlight w:val="none"/>
              </w:rPr>
            </w:pPr>
          </w:p>
          <w:p w14:paraId="65F7E08F">
            <w:pPr>
              <w:spacing w:line="360" w:lineRule="auto"/>
              <w:ind w:firstLine="480" w:firstLineChars="200"/>
              <w:rPr>
                <w:rFonts w:hint="eastAsia"/>
                <w:color w:val="auto"/>
                <w:sz w:val="24"/>
                <w:highlight w:val="none"/>
              </w:rPr>
            </w:pPr>
          </w:p>
          <w:p w14:paraId="5DAA5EC6">
            <w:pPr>
              <w:spacing w:line="360" w:lineRule="auto"/>
              <w:ind w:firstLine="480" w:firstLineChars="200"/>
              <w:rPr>
                <w:color w:val="auto"/>
                <w:sz w:val="24"/>
                <w:highlight w:val="none"/>
              </w:rPr>
            </w:pPr>
          </w:p>
        </w:tc>
      </w:tr>
    </w:tbl>
    <w:p w14:paraId="52F3DC56">
      <w:pPr>
        <w:rPr>
          <w:color w:val="auto"/>
          <w:highlight w:val="none"/>
        </w:rPr>
        <w:sectPr>
          <w:pgSz w:w="11906" w:h="16838"/>
          <w:pgMar w:top="1701" w:right="1531" w:bottom="1701" w:left="1531" w:header="851" w:footer="851" w:gutter="0"/>
          <w:cols w:space="720" w:num="1"/>
          <w:docGrid w:linePitch="312" w:charSpace="0"/>
        </w:sectPr>
      </w:pPr>
    </w:p>
    <w:p w14:paraId="3A715467">
      <w:pPr>
        <w:rPr>
          <w:color w:val="auto"/>
          <w:sz w:val="28"/>
          <w:szCs w:val="28"/>
          <w:highlight w:val="none"/>
        </w:rPr>
      </w:pPr>
      <w:r>
        <w:rPr>
          <w:color w:val="auto"/>
          <w:sz w:val="28"/>
          <w:szCs w:val="28"/>
          <w:highlight w:val="none"/>
        </w:rPr>
        <w:t>附表</w:t>
      </w:r>
    </w:p>
    <w:p w14:paraId="08432B8C">
      <w:pPr>
        <w:jc w:val="center"/>
        <w:rPr>
          <w:color w:val="auto"/>
          <w:sz w:val="28"/>
          <w:szCs w:val="28"/>
          <w:highlight w:val="none"/>
        </w:rPr>
      </w:pPr>
      <w:r>
        <w:rPr>
          <w:color w:val="auto"/>
          <w:sz w:val="28"/>
          <w:szCs w:val="28"/>
          <w:highlight w:val="none"/>
        </w:rPr>
        <w:t>建设项目污染物排放量汇总表</w:t>
      </w:r>
    </w:p>
    <w:tbl>
      <w:tblPr>
        <w:tblStyle w:val="19"/>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2206"/>
        <w:gridCol w:w="1362"/>
        <w:gridCol w:w="1063"/>
        <w:gridCol w:w="1700"/>
        <w:gridCol w:w="1531"/>
        <w:gridCol w:w="1968"/>
        <w:gridCol w:w="1633"/>
        <w:gridCol w:w="1016"/>
      </w:tblGrid>
      <w:tr w14:paraId="4E4561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3" w:hRule="atLeast"/>
        </w:trPr>
        <w:tc>
          <w:tcPr>
            <w:tcW w:w="486" w:type="pct"/>
            <w:tcBorders>
              <w:tl2br w:val="single" w:color="auto" w:sz="4" w:space="0"/>
            </w:tcBorders>
            <w:noWrap w:val="0"/>
            <w:tcMar>
              <w:left w:w="28" w:type="dxa"/>
              <w:right w:w="28" w:type="dxa"/>
            </w:tcMar>
            <w:vAlign w:val="center"/>
          </w:tcPr>
          <w:p w14:paraId="0EFE22E9">
            <w:pPr>
              <w:pStyle w:val="80"/>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14:paraId="07305E6D">
            <w:pPr>
              <w:pStyle w:val="80"/>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797" w:type="pct"/>
            <w:shd w:val="clear"/>
            <w:noWrap w:val="0"/>
            <w:tcMar>
              <w:left w:w="28" w:type="dxa"/>
              <w:right w:w="28" w:type="dxa"/>
            </w:tcMar>
            <w:vAlign w:val="center"/>
          </w:tcPr>
          <w:p w14:paraId="4B00BAB8">
            <w:pPr>
              <w:pStyle w:val="80"/>
              <w:spacing w:beforeLines="0" w:afterLines="0" w:line="240" w:lineRule="auto"/>
              <w:ind w:left="0" w:leftChars="0" w:firstLine="0" w:firstLineChars="0"/>
              <w:jc w:val="center"/>
              <w:rPr>
                <w:rFonts w:ascii="Times New Roman" w:hAnsi="Times New Roman" w:eastAsia="宋体" w:cs="Times New Roman"/>
                <w:snapToGrid w:val="0"/>
                <w:color w:val="auto"/>
                <w:spacing w:val="-6"/>
                <w:kern w:val="21"/>
                <w:sz w:val="21"/>
                <w:szCs w:val="21"/>
                <w:lang w:val="en-US" w:eastAsia="zh-CN" w:bidi="ar-SA"/>
              </w:rPr>
            </w:pPr>
            <w:r>
              <w:rPr>
                <w:rFonts w:ascii="Times New Roman"/>
                <w:snapToGrid w:val="0"/>
                <w:color w:val="auto"/>
                <w:spacing w:val="-6"/>
                <w:kern w:val="21"/>
                <w:szCs w:val="21"/>
              </w:rPr>
              <w:t>污染物名称</w:t>
            </w:r>
          </w:p>
        </w:tc>
        <w:tc>
          <w:tcPr>
            <w:tcW w:w="492" w:type="pct"/>
            <w:shd w:val="clear"/>
            <w:noWrap w:val="0"/>
            <w:tcMar>
              <w:left w:w="28" w:type="dxa"/>
              <w:right w:w="28" w:type="dxa"/>
            </w:tcMar>
            <w:vAlign w:val="center"/>
          </w:tcPr>
          <w:p w14:paraId="0876EC8E">
            <w:pPr>
              <w:pStyle w:val="80"/>
              <w:spacing w:beforeLines="0" w:afterLines="0" w:line="240" w:lineRule="auto"/>
              <w:ind w:left="0" w:leftChars="0" w:firstLine="0" w:firstLineChars="0"/>
              <w:jc w:val="center"/>
              <w:rPr>
                <w:rFonts w:ascii="Times New Roman"/>
                <w:snapToGrid w:val="0"/>
                <w:color w:val="auto"/>
                <w:spacing w:val="-6"/>
                <w:kern w:val="21"/>
                <w:szCs w:val="21"/>
              </w:rPr>
            </w:pPr>
            <w:r>
              <w:rPr>
                <w:rFonts w:ascii="Times New Roman"/>
                <w:snapToGrid w:val="0"/>
                <w:color w:val="auto"/>
                <w:spacing w:val="-6"/>
                <w:kern w:val="21"/>
                <w:szCs w:val="21"/>
              </w:rPr>
              <w:t>现有工程</w:t>
            </w:r>
          </w:p>
          <w:p w14:paraId="498E44C7">
            <w:pPr>
              <w:pStyle w:val="80"/>
              <w:spacing w:beforeLines="0" w:afterLines="0" w:line="240" w:lineRule="auto"/>
              <w:ind w:left="0" w:leftChars="0" w:firstLine="0" w:firstLineChars="0"/>
              <w:jc w:val="center"/>
              <w:rPr>
                <w:rFonts w:ascii="Times New Roman" w:hAnsi="Times New Roman" w:eastAsia="宋体" w:cs="Times New Roman"/>
                <w:snapToGrid w:val="0"/>
                <w:color w:val="auto"/>
                <w:spacing w:val="-6"/>
                <w:kern w:val="21"/>
                <w:sz w:val="21"/>
                <w:szCs w:val="21"/>
                <w:lang w:val="en-US" w:eastAsia="zh-CN" w:bidi="ar-SA"/>
              </w:rPr>
            </w:pPr>
            <w:r>
              <w:rPr>
                <w:rFonts w:ascii="Times New Roman"/>
                <w:snapToGrid w:val="0"/>
                <w:color w:val="auto"/>
                <w:spacing w:val="-6"/>
                <w:kern w:val="21"/>
                <w:szCs w:val="21"/>
              </w:rPr>
              <w:t>排放量（固体废物产生量）t/a</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kern w:val="2"/>
                <w:szCs w:val="21"/>
              </w:rPr>
              <w:t>①</w:t>
            </w:r>
            <w:r>
              <w:rPr>
                <w:rFonts w:ascii="Times New Roman"/>
                <w:snapToGrid w:val="0"/>
                <w:color w:val="auto"/>
                <w:spacing w:val="-6"/>
                <w:kern w:val="21"/>
                <w:szCs w:val="21"/>
              </w:rPr>
              <w:fldChar w:fldCharType="end"/>
            </w:r>
          </w:p>
        </w:tc>
        <w:tc>
          <w:tcPr>
            <w:tcW w:w="384" w:type="pct"/>
            <w:shd w:val="clear"/>
            <w:noWrap w:val="0"/>
            <w:tcMar>
              <w:left w:w="28" w:type="dxa"/>
              <w:right w:w="28" w:type="dxa"/>
            </w:tcMar>
            <w:vAlign w:val="center"/>
          </w:tcPr>
          <w:p w14:paraId="26162BA6">
            <w:pPr>
              <w:pStyle w:val="80"/>
              <w:spacing w:beforeLines="0" w:afterLines="0" w:line="240" w:lineRule="auto"/>
              <w:ind w:left="0" w:leftChars="0" w:firstLine="0" w:firstLineChars="0"/>
              <w:jc w:val="center"/>
              <w:rPr>
                <w:rFonts w:ascii="Times New Roman"/>
                <w:snapToGrid w:val="0"/>
                <w:color w:val="auto"/>
                <w:spacing w:val="-6"/>
                <w:kern w:val="21"/>
                <w:szCs w:val="21"/>
              </w:rPr>
            </w:pPr>
            <w:r>
              <w:rPr>
                <w:rFonts w:ascii="Times New Roman"/>
                <w:snapToGrid w:val="0"/>
                <w:color w:val="auto"/>
                <w:spacing w:val="-6"/>
                <w:kern w:val="21"/>
                <w:szCs w:val="21"/>
              </w:rPr>
              <w:t>现有工程</w:t>
            </w:r>
          </w:p>
          <w:p w14:paraId="2D37E13B">
            <w:pPr>
              <w:pStyle w:val="80"/>
              <w:spacing w:beforeLines="0" w:afterLines="0" w:line="240" w:lineRule="auto"/>
              <w:ind w:left="0" w:leftChars="0" w:firstLine="0" w:firstLineChars="0"/>
              <w:jc w:val="center"/>
              <w:rPr>
                <w:rFonts w:ascii="Times New Roman"/>
                <w:snapToGrid w:val="0"/>
                <w:color w:val="auto"/>
                <w:spacing w:val="-6"/>
                <w:kern w:val="21"/>
                <w:szCs w:val="21"/>
              </w:rPr>
            </w:pPr>
            <w:r>
              <w:rPr>
                <w:rFonts w:ascii="Times New Roman"/>
                <w:snapToGrid w:val="0"/>
                <w:color w:val="auto"/>
                <w:spacing w:val="-6"/>
                <w:kern w:val="21"/>
                <w:szCs w:val="21"/>
              </w:rPr>
              <w:t>许可排放量</w:t>
            </w:r>
          </w:p>
          <w:p w14:paraId="654EAF5E">
            <w:pPr>
              <w:pStyle w:val="80"/>
              <w:spacing w:beforeLines="0" w:afterLines="0"/>
              <w:ind w:firstLine="420" w:firstLineChars="0"/>
              <w:jc w:val="center"/>
              <w:rPr>
                <w:rFonts w:ascii="Times New Roman" w:hAnsi="Times New Roman" w:eastAsia="宋体" w:cs="Times New Roman"/>
                <w:snapToGrid w:val="0"/>
                <w:color w:val="auto"/>
                <w:spacing w:val="-6"/>
                <w:kern w:val="21"/>
                <w:sz w:val="21"/>
                <w:szCs w:val="21"/>
                <w:lang w:val="en-US" w:eastAsia="zh-CN" w:bidi="ar-SA"/>
              </w:rPr>
            </w:pPr>
            <w:r>
              <w:rPr>
                <w:rFonts w:ascii="Times New Roman"/>
                <w:snapToGrid w:val="0"/>
                <w:color w:val="auto"/>
                <w:spacing w:val="-6"/>
                <w:kern w:val="21"/>
                <w:szCs w:val="21"/>
              </w:rPr>
              <w:t>t/a</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snapToGrid w:val="0"/>
                <w:color w:val="auto"/>
                <w:spacing w:val="-6"/>
                <w:kern w:val="21"/>
                <w:szCs w:val="21"/>
              </w:rPr>
              <w:fldChar w:fldCharType="end"/>
            </w:r>
          </w:p>
        </w:tc>
        <w:tc>
          <w:tcPr>
            <w:tcW w:w="614" w:type="pct"/>
            <w:shd w:val="clear"/>
            <w:noWrap w:val="0"/>
            <w:tcMar>
              <w:left w:w="28" w:type="dxa"/>
              <w:right w:w="28" w:type="dxa"/>
            </w:tcMar>
            <w:vAlign w:val="center"/>
          </w:tcPr>
          <w:p w14:paraId="7F1A5862">
            <w:pPr>
              <w:pStyle w:val="80"/>
              <w:spacing w:beforeLines="0" w:afterLines="0" w:line="240" w:lineRule="auto"/>
              <w:ind w:left="0" w:leftChars="0" w:firstLine="0" w:firstLineChars="0"/>
              <w:jc w:val="center"/>
              <w:rPr>
                <w:rFonts w:ascii="Times New Roman"/>
                <w:snapToGrid w:val="0"/>
                <w:color w:val="auto"/>
                <w:spacing w:val="-6"/>
                <w:kern w:val="21"/>
                <w:szCs w:val="21"/>
              </w:rPr>
            </w:pPr>
            <w:r>
              <w:rPr>
                <w:rFonts w:ascii="Times New Roman"/>
                <w:snapToGrid w:val="0"/>
                <w:color w:val="auto"/>
                <w:spacing w:val="-6"/>
                <w:kern w:val="21"/>
                <w:szCs w:val="21"/>
              </w:rPr>
              <w:t>在建工程</w:t>
            </w:r>
          </w:p>
          <w:p w14:paraId="4628CB57">
            <w:pPr>
              <w:pStyle w:val="80"/>
              <w:spacing w:beforeLines="0" w:afterLines="0" w:line="240" w:lineRule="auto"/>
              <w:ind w:left="0" w:leftChars="0" w:firstLine="0" w:firstLineChars="0"/>
              <w:jc w:val="center"/>
              <w:rPr>
                <w:rFonts w:ascii="Times New Roman" w:hAnsi="Times New Roman" w:eastAsia="宋体" w:cs="Times New Roman"/>
                <w:snapToGrid w:val="0"/>
                <w:color w:val="auto"/>
                <w:spacing w:val="-6"/>
                <w:kern w:val="21"/>
                <w:sz w:val="21"/>
                <w:szCs w:val="21"/>
                <w:lang w:val="en-US" w:eastAsia="zh-CN" w:bidi="ar-SA"/>
              </w:rPr>
            </w:pPr>
            <w:r>
              <w:rPr>
                <w:rFonts w:ascii="Times New Roman"/>
                <w:snapToGrid w:val="0"/>
                <w:color w:val="auto"/>
                <w:spacing w:val="-6"/>
                <w:kern w:val="21"/>
                <w:szCs w:val="21"/>
              </w:rPr>
              <w:t>排放量（固体废物产生量）t/a</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553" w:type="pct"/>
            <w:shd w:val="clear"/>
            <w:noWrap w:val="0"/>
            <w:tcMar>
              <w:left w:w="28" w:type="dxa"/>
              <w:right w:w="28" w:type="dxa"/>
            </w:tcMar>
            <w:vAlign w:val="center"/>
          </w:tcPr>
          <w:p w14:paraId="0E578F54">
            <w:pPr>
              <w:pStyle w:val="80"/>
              <w:spacing w:beforeLines="0" w:afterLines="0" w:line="240" w:lineRule="auto"/>
              <w:ind w:left="0" w:leftChars="0" w:firstLine="0" w:firstLineChars="0"/>
              <w:jc w:val="center"/>
              <w:rPr>
                <w:rFonts w:ascii="Times New Roman"/>
                <w:snapToGrid w:val="0"/>
                <w:color w:val="auto"/>
                <w:spacing w:val="-6"/>
                <w:kern w:val="21"/>
                <w:szCs w:val="21"/>
              </w:rPr>
            </w:pPr>
            <w:r>
              <w:rPr>
                <w:rFonts w:ascii="Times New Roman"/>
                <w:snapToGrid w:val="0"/>
                <w:color w:val="auto"/>
                <w:spacing w:val="-6"/>
                <w:kern w:val="21"/>
                <w:szCs w:val="21"/>
              </w:rPr>
              <w:t>本项目</w:t>
            </w:r>
          </w:p>
          <w:p w14:paraId="092CF944">
            <w:pPr>
              <w:pStyle w:val="80"/>
              <w:spacing w:beforeLines="0" w:afterLines="0" w:line="240" w:lineRule="auto"/>
              <w:ind w:left="0" w:leftChars="0" w:firstLine="0" w:firstLineChars="0"/>
              <w:jc w:val="center"/>
              <w:rPr>
                <w:rFonts w:ascii="Times New Roman" w:hAnsi="Times New Roman" w:eastAsia="宋体" w:cs="Times New Roman"/>
                <w:snapToGrid w:val="0"/>
                <w:color w:val="auto"/>
                <w:spacing w:val="-6"/>
                <w:kern w:val="21"/>
                <w:sz w:val="21"/>
                <w:szCs w:val="21"/>
                <w:lang w:val="en-US" w:eastAsia="zh-CN" w:bidi="ar-SA"/>
              </w:rPr>
            </w:pPr>
            <w:r>
              <w:rPr>
                <w:rFonts w:ascii="Times New Roman"/>
                <w:snapToGrid w:val="0"/>
                <w:color w:val="auto"/>
                <w:spacing w:val="-6"/>
                <w:kern w:val="21"/>
                <w:szCs w:val="21"/>
              </w:rPr>
              <w:t>排放量（固体废物产生量）t/a</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kern w:val="2"/>
                <w:szCs w:val="21"/>
              </w:rPr>
              <w:t>④</w:t>
            </w:r>
            <w:r>
              <w:rPr>
                <w:rFonts w:ascii="Times New Roman"/>
                <w:snapToGrid w:val="0"/>
                <w:color w:val="auto"/>
                <w:spacing w:val="-6"/>
                <w:kern w:val="21"/>
                <w:szCs w:val="21"/>
              </w:rPr>
              <w:fldChar w:fldCharType="end"/>
            </w:r>
          </w:p>
        </w:tc>
        <w:tc>
          <w:tcPr>
            <w:tcW w:w="711" w:type="pct"/>
            <w:shd w:val="clear"/>
            <w:noWrap w:val="0"/>
            <w:tcMar>
              <w:left w:w="28" w:type="dxa"/>
              <w:right w:w="28" w:type="dxa"/>
            </w:tcMar>
            <w:vAlign w:val="center"/>
          </w:tcPr>
          <w:p w14:paraId="0602254F">
            <w:pPr>
              <w:pStyle w:val="80"/>
              <w:spacing w:beforeLines="0" w:afterLines="0" w:line="240" w:lineRule="auto"/>
              <w:ind w:left="0" w:leftChars="0" w:firstLine="0" w:firstLineChars="0"/>
              <w:jc w:val="center"/>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54642AB1">
            <w:pPr>
              <w:pStyle w:val="80"/>
              <w:spacing w:beforeLines="0" w:afterLines="0" w:line="240" w:lineRule="auto"/>
              <w:ind w:left="0" w:leftChars="0" w:firstLine="0" w:firstLineChars="0"/>
              <w:jc w:val="center"/>
              <w:rPr>
                <w:rFonts w:ascii="Times New Roman" w:hAnsi="Times New Roman" w:eastAsia="宋体" w:cs="Times New Roman"/>
                <w:snapToGrid w:val="0"/>
                <w:color w:val="auto"/>
                <w:spacing w:val="-16"/>
                <w:kern w:val="21"/>
                <w:sz w:val="21"/>
                <w:szCs w:val="21"/>
                <w:lang w:val="en-US" w:eastAsia="zh-CN" w:bidi="ar-SA"/>
              </w:rPr>
            </w:pPr>
            <w:r>
              <w:rPr>
                <w:rFonts w:ascii="Times New Roman"/>
                <w:snapToGrid w:val="0"/>
                <w:color w:val="auto"/>
                <w:spacing w:val="-16"/>
                <w:kern w:val="21"/>
                <w:szCs w:val="21"/>
              </w:rPr>
              <w:t>（新建项目不填）</w:t>
            </w:r>
            <w:r>
              <w:rPr>
                <w:rFonts w:ascii="Times New Roman"/>
                <w:snapToGrid w:val="0"/>
                <w:color w:val="auto"/>
                <w:spacing w:val="-6"/>
                <w:kern w:val="21"/>
                <w:szCs w:val="21"/>
              </w:rPr>
              <w:t>t/a</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kern w:val="2"/>
                <w:szCs w:val="21"/>
              </w:rPr>
              <w:t>⑤</w:t>
            </w:r>
            <w:r>
              <w:rPr>
                <w:rFonts w:ascii="Times New Roman"/>
                <w:snapToGrid w:val="0"/>
                <w:color w:val="auto"/>
                <w:spacing w:val="-16"/>
                <w:kern w:val="21"/>
                <w:szCs w:val="21"/>
              </w:rPr>
              <w:fldChar w:fldCharType="end"/>
            </w:r>
          </w:p>
        </w:tc>
        <w:tc>
          <w:tcPr>
            <w:tcW w:w="590" w:type="pct"/>
            <w:shd w:val="clear"/>
            <w:noWrap w:val="0"/>
            <w:tcMar>
              <w:left w:w="28" w:type="dxa"/>
              <w:right w:w="28" w:type="dxa"/>
            </w:tcMar>
            <w:vAlign w:val="center"/>
          </w:tcPr>
          <w:p w14:paraId="55175135">
            <w:pPr>
              <w:pStyle w:val="80"/>
              <w:spacing w:beforeLines="0" w:afterLines="0" w:line="240" w:lineRule="auto"/>
              <w:ind w:left="0" w:leftChars="0" w:firstLine="0" w:firstLineChars="0"/>
              <w:jc w:val="center"/>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688EBC65">
            <w:pPr>
              <w:pStyle w:val="80"/>
              <w:spacing w:beforeLines="0" w:afterLines="0" w:line="240" w:lineRule="auto"/>
              <w:ind w:left="0" w:leftChars="0" w:firstLine="0" w:firstLineChars="0"/>
              <w:jc w:val="center"/>
              <w:rPr>
                <w:rFonts w:ascii="Times New Roman" w:hAnsi="Times New Roman" w:eastAsia="宋体" w:cs="Times New Roman"/>
                <w:snapToGrid w:val="0"/>
                <w:color w:val="auto"/>
                <w:spacing w:val="-16"/>
                <w:kern w:val="21"/>
                <w:sz w:val="21"/>
                <w:szCs w:val="21"/>
                <w:lang w:val="en-US" w:eastAsia="zh-CN" w:bidi="ar-SA"/>
              </w:rPr>
            </w:pPr>
            <w:r>
              <w:rPr>
                <w:rFonts w:ascii="Times New Roman"/>
                <w:snapToGrid w:val="0"/>
                <w:color w:val="auto"/>
                <w:spacing w:val="-16"/>
                <w:kern w:val="21"/>
                <w:szCs w:val="21"/>
              </w:rPr>
              <w:t>全厂排放量（固体废物产生量）</w:t>
            </w:r>
            <w:r>
              <w:rPr>
                <w:rFonts w:ascii="Times New Roman"/>
                <w:snapToGrid w:val="0"/>
                <w:color w:val="auto"/>
                <w:spacing w:val="-6"/>
                <w:kern w:val="21"/>
                <w:szCs w:val="21"/>
              </w:rPr>
              <w:t>t/a</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kern w:val="2"/>
                <w:szCs w:val="21"/>
              </w:rPr>
              <w:t>⑥</w:t>
            </w:r>
            <w:r>
              <w:rPr>
                <w:rFonts w:ascii="Times New Roman"/>
                <w:snapToGrid w:val="0"/>
                <w:color w:val="auto"/>
                <w:spacing w:val="-16"/>
                <w:kern w:val="21"/>
                <w:szCs w:val="21"/>
              </w:rPr>
              <w:fldChar w:fldCharType="end"/>
            </w:r>
          </w:p>
        </w:tc>
        <w:tc>
          <w:tcPr>
            <w:tcW w:w="367" w:type="pct"/>
            <w:shd w:val="clear"/>
            <w:noWrap w:val="0"/>
            <w:tcMar>
              <w:left w:w="28" w:type="dxa"/>
              <w:right w:w="28" w:type="dxa"/>
            </w:tcMar>
            <w:vAlign w:val="center"/>
          </w:tcPr>
          <w:p w14:paraId="2B5DE307">
            <w:pPr>
              <w:pStyle w:val="80"/>
              <w:spacing w:beforeLines="0" w:afterLines="0" w:line="240" w:lineRule="auto"/>
              <w:ind w:left="0" w:leftChars="0" w:firstLine="0" w:firstLineChars="0"/>
              <w:jc w:val="center"/>
              <w:rPr>
                <w:rFonts w:ascii="Times New Roman"/>
                <w:snapToGrid w:val="0"/>
                <w:color w:val="auto"/>
                <w:spacing w:val="-6"/>
                <w:kern w:val="21"/>
                <w:szCs w:val="21"/>
              </w:rPr>
            </w:pPr>
            <w:r>
              <w:rPr>
                <w:rFonts w:ascii="Times New Roman"/>
                <w:snapToGrid w:val="0"/>
                <w:color w:val="auto"/>
                <w:spacing w:val="-6"/>
                <w:kern w:val="21"/>
                <w:szCs w:val="21"/>
              </w:rPr>
              <w:t>变化量</w:t>
            </w:r>
          </w:p>
          <w:p w14:paraId="697C3A5D">
            <w:pPr>
              <w:pStyle w:val="80"/>
              <w:spacing w:beforeLines="0" w:afterLines="0" w:line="240" w:lineRule="auto"/>
              <w:ind w:firstLine="420" w:firstLineChars="0"/>
              <w:jc w:val="both"/>
              <w:rPr>
                <w:rFonts w:ascii="Times New Roman" w:hAnsi="Times New Roman" w:eastAsia="宋体" w:cs="Times New Roman"/>
                <w:snapToGrid w:val="0"/>
                <w:color w:val="auto"/>
                <w:spacing w:val="-6"/>
                <w:kern w:val="21"/>
                <w:sz w:val="21"/>
                <w:szCs w:val="21"/>
                <w:lang w:val="en-US" w:eastAsia="zh-CN" w:bidi="ar-SA"/>
              </w:rPr>
            </w:pPr>
            <w:r>
              <w:rPr>
                <w:rFonts w:ascii="Times New Roman"/>
                <w:snapToGrid w:val="0"/>
                <w:color w:val="auto"/>
                <w:spacing w:val="-6"/>
                <w:kern w:val="21"/>
                <w:szCs w:val="21"/>
              </w:rPr>
              <w:t>t/a</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kern w:val="2"/>
                <w:szCs w:val="21"/>
              </w:rPr>
              <w:t>⑦</w:t>
            </w:r>
            <w:r>
              <w:rPr>
                <w:rFonts w:ascii="Times New Roman"/>
                <w:snapToGrid w:val="0"/>
                <w:color w:val="auto"/>
                <w:spacing w:val="-6"/>
                <w:kern w:val="21"/>
                <w:szCs w:val="21"/>
              </w:rPr>
              <w:fldChar w:fldCharType="end"/>
            </w:r>
          </w:p>
        </w:tc>
      </w:tr>
      <w:tr w14:paraId="2E917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restart"/>
            <w:noWrap w:val="0"/>
            <w:vAlign w:val="center"/>
          </w:tcPr>
          <w:p w14:paraId="73AABDAA">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snapToGrid w:val="0"/>
                <w:color w:val="auto"/>
                <w:kern w:val="21"/>
                <w:szCs w:val="21"/>
              </w:rPr>
              <w:t>废气</w:t>
            </w:r>
          </w:p>
        </w:tc>
        <w:tc>
          <w:tcPr>
            <w:tcW w:w="797" w:type="pct"/>
            <w:noWrap w:val="0"/>
            <w:vAlign w:val="center"/>
          </w:tcPr>
          <w:p w14:paraId="7BA8E9D5">
            <w:pPr>
              <w:autoSpaceDE w:val="0"/>
              <w:autoSpaceDN w:val="0"/>
              <w:adjustRightInd w:val="0"/>
              <w:jc w:val="center"/>
              <w:rPr>
                <w:snapToGrid w:val="0"/>
                <w:color w:val="auto"/>
                <w:kern w:val="21"/>
                <w:szCs w:val="21"/>
              </w:rPr>
            </w:pPr>
            <w:r>
              <w:rPr>
                <w:color w:val="auto"/>
                <w:szCs w:val="21"/>
              </w:rPr>
              <w:t>非甲烷总烃</w:t>
            </w:r>
          </w:p>
        </w:tc>
        <w:tc>
          <w:tcPr>
            <w:tcW w:w="492" w:type="pct"/>
            <w:noWrap w:val="0"/>
            <w:vAlign w:val="center"/>
          </w:tcPr>
          <w:p w14:paraId="08D2FA73">
            <w:pPr>
              <w:jc w:val="center"/>
              <w:rPr>
                <w:snapToGrid w:val="0"/>
                <w:color w:val="auto"/>
                <w:kern w:val="21"/>
                <w:szCs w:val="21"/>
              </w:rPr>
            </w:pPr>
            <w:r>
              <w:rPr>
                <w:snapToGrid w:val="0"/>
                <w:color w:val="auto"/>
                <w:kern w:val="21"/>
                <w:szCs w:val="21"/>
              </w:rPr>
              <w:t>0</w:t>
            </w:r>
          </w:p>
        </w:tc>
        <w:tc>
          <w:tcPr>
            <w:tcW w:w="384" w:type="pct"/>
            <w:noWrap w:val="0"/>
            <w:vAlign w:val="center"/>
          </w:tcPr>
          <w:p w14:paraId="6A607D14">
            <w:pPr>
              <w:jc w:val="center"/>
              <w:rPr>
                <w:snapToGrid w:val="0"/>
                <w:color w:val="auto"/>
                <w:kern w:val="21"/>
                <w:szCs w:val="21"/>
              </w:rPr>
            </w:pPr>
            <w:r>
              <w:rPr>
                <w:snapToGrid w:val="0"/>
                <w:color w:val="auto"/>
                <w:kern w:val="21"/>
                <w:szCs w:val="21"/>
              </w:rPr>
              <w:t>0</w:t>
            </w:r>
          </w:p>
        </w:tc>
        <w:tc>
          <w:tcPr>
            <w:tcW w:w="614" w:type="pct"/>
            <w:noWrap w:val="0"/>
            <w:vAlign w:val="center"/>
          </w:tcPr>
          <w:p w14:paraId="05E9FB10">
            <w:pPr>
              <w:jc w:val="center"/>
              <w:rPr>
                <w:snapToGrid w:val="0"/>
                <w:color w:val="auto"/>
                <w:kern w:val="21"/>
                <w:szCs w:val="21"/>
              </w:rPr>
            </w:pPr>
            <w:r>
              <w:rPr>
                <w:snapToGrid w:val="0"/>
                <w:color w:val="auto"/>
                <w:kern w:val="21"/>
                <w:szCs w:val="21"/>
              </w:rPr>
              <w:t>0</w:t>
            </w:r>
          </w:p>
        </w:tc>
        <w:tc>
          <w:tcPr>
            <w:tcW w:w="553" w:type="pct"/>
            <w:shd w:val="clear" w:color="auto" w:fill="auto"/>
            <w:noWrap w:val="0"/>
            <w:vAlign w:val="center"/>
          </w:tcPr>
          <w:p w14:paraId="4182D0EC">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0.0789</w:t>
            </w:r>
          </w:p>
        </w:tc>
        <w:tc>
          <w:tcPr>
            <w:tcW w:w="711" w:type="pct"/>
            <w:noWrap w:val="0"/>
            <w:vAlign w:val="center"/>
          </w:tcPr>
          <w:p w14:paraId="1968B607">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25C56A43">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0.0789</w:t>
            </w:r>
          </w:p>
        </w:tc>
        <w:tc>
          <w:tcPr>
            <w:tcW w:w="367" w:type="pct"/>
            <w:shd w:val="clear" w:color="auto" w:fill="auto"/>
            <w:noWrap w:val="0"/>
            <w:vAlign w:val="center"/>
          </w:tcPr>
          <w:p w14:paraId="75F12043">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+0.0789</w:t>
            </w:r>
          </w:p>
        </w:tc>
      </w:tr>
      <w:tr w14:paraId="684FD9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6065E660">
            <w:pPr>
              <w:pStyle w:val="80"/>
              <w:spacing w:beforeLines="0" w:afterLines="0" w:line="240" w:lineRule="auto"/>
              <w:jc w:val="center"/>
              <w:rPr>
                <w:rFonts w:ascii="Times New Roman"/>
                <w:snapToGrid w:val="0"/>
                <w:color w:val="auto"/>
                <w:kern w:val="21"/>
                <w:szCs w:val="21"/>
              </w:rPr>
            </w:pPr>
          </w:p>
        </w:tc>
        <w:tc>
          <w:tcPr>
            <w:tcW w:w="797" w:type="pct"/>
            <w:noWrap w:val="0"/>
            <w:vAlign w:val="center"/>
          </w:tcPr>
          <w:p w14:paraId="0A570112">
            <w:pPr>
              <w:autoSpaceDE w:val="0"/>
              <w:autoSpaceDN w:val="0"/>
              <w:adjustRightInd w:val="0"/>
              <w:jc w:val="center"/>
              <w:rPr>
                <w:color w:val="auto"/>
                <w:szCs w:val="21"/>
              </w:rPr>
            </w:pPr>
            <w:r>
              <w:rPr>
                <w:rFonts w:hint="eastAsia"/>
                <w:color w:val="auto"/>
                <w:szCs w:val="21"/>
              </w:rPr>
              <w:t>颗粒物</w:t>
            </w:r>
          </w:p>
        </w:tc>
        <w:tc>
          <w:tcPr>
            <w:tcW w:w="492" w:type="pct"/>
            <w:shd w:val="clear"/>
            <w:noWrap w:val="0"/>
            <w:vAlign w:val="center"/>
          </w:tcPr>
          <w:p w14:paraId="6E27A7CB">
            <w:pPr>
              <w:jc w:val="center"/>
              <w:rPr>
                <w:rFonts w:ascii="Times New Roman" w:hAnsi="Times New Roman" w:eastAsia="宋体" w:cs="Times New Roman"/>
                <w:snapToGrid w:val="0"/>
                <w:color w:val="auto"/>
                <w:kern w:val="21"/>
                <w:sz w:val="21"/>
                <w:szCs w:val="21"/>
                <w:lang w:val="en-US" w:eastAsia="zh-CN" w:bidi="ar-SA"/>
              </w:rPr>
            </w:pPr>
            <w:r>
              <w:rPr>
                <w:snapToGrid w:val="0"/>
                <w:color w:val="auto"/>
                <w:kern w:val="21"/>
                <w:szCs w:val="21"/>
              </w:rPr>
              <w:t>0</w:t>
            </w:r>
          </w:p>
        </w:tc>
        <w:tc>
          <w:tcPr>
            <w:tcW w:w="384" w:type="pct"/>
            <w:shd w:val="clear"/>
            <w:noWrap w:val="0"/>
            <w:vAlign w:val="center"/>
          </w:tcPr>
          <w:p w14:paraId="5DFB21DC">
            <w:pPr>
              <w:jc w:val="center"/>
              <w:rPr>
                <w:rFonts w:ascii="Times New Roman" w:hAnsi="Times New Roman" w:eastAsia="宋体" w:cs="Times New Roman"/>
                <w:snapToGrid w:val="0"/>
                <w:color w:val="auto"/>
                <w:kern w:val="21"/>
                <w:sz w:val="21"/>
                <w:szCs w:val="21"/>
                <w:lang w:val="en-US" w:eastAsia="zh-CN" w:bidi="ar-SA"/>
              </w:rPr>
            </w:pPr>
            <w:r>
              <w:rPr>
                <w:snapToGrid w:val="0"/>
                <w:color w:val="auto"/>
                <w:kern w:val="21"/>
                <w:szCs w:val="21"/>
              </w:rPr>
              <w:t>0</w:t>
            </w:r>
          </w:p>
        </w:tc>
        <w:tc>
          <w:tcPr>
            <w:tcW w:w="614" w:type="pct"/>
            <w:noWrap w:val="0"/>
            <w:vAlign w:val="center"/>
          </w:tcPr>
          <w:p w14:paraId="5D09303F">
            <w:pPr>
              <w:jc w:val="center"/>
              <w:rPr>
                <w:snapToGrid w:val="0"/>
                <w:color w:val="auto"/>
                <w:kern w:val="21"/>
                <w:szCs w:val="21"/>
              </w:rPr>
            </w:pPr>
            <w:r>
              <w:rPr>
                <w:snapToGrid w:val="0"/>
                <w:color w:val="auto"/>
                <w:kern w:val="21"/>
                <w:szCs w:val="21"/>
              </w:rPr>
              <w:t>0</w:t>
            </w:r>
          </w:p>
        </w:tc>
        <w:tc>
          <w:tcPr>
            <w:tcW w:w="553" w:type="pct"/>
            <w:shd w:val="clear" w:color="auto" w:fill="auto"/>
            <w:noWrap w:val="0"/>
            <w:vAlign w:val="center"/>
          </w:tcPr>
          <w:p w14:paraId="047FF37F">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0.005</w:t>
            </w:r>
          </w:p>
        </w:tc>
        <w:tc>
          <w:tcPr>
            <w:tcW w:w="711" w:type="pct"/>
            <w:noWrap w:val="0"/>
            <w:vAlign w:val="center"/>
          </w:tcPr>
          <w:p w14:paraId="4A4D4C35">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76CD8B4C">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0.005</w:t>
            </w:r>
          </w:p>
        </w:tc>
        <w:tc>
          <w:tcPr>
            <w:tcW w:w="367" w:type="pct"/>
            <w:shd w:val="clear" w:color="auto" w:fill="auto"/>
            <w:noWrap w:val="0"/>
            <w:vAlign w:val="center"/>
          </w:tcPr>
          <w:p w14:paraId="66AA6CA3">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+0.005</w:t>
            </w:r>
          </w:p>
        </w:tc>
      </w:tr>
      <w:tr w14:paraId="5B832B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restart"/>
            <w:noWrap w:val="0"/>
            <w:vAlign w:val="center"/>
          </w:tcPr>
          <w:p w14:paraId="1D769D65">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snapToGrid w:val="0"/>
                <w:color w:val="auto"/>
                <w:kern w:val="21"/>
                <w:szCs w:val="21"/>
              </w:rPr>
              <w:t>废水</w:t>
            </w:r>
          </w:p>
        </w:tc>
        <w:tc>
          <w:tcPr>
            <w:tcW w:w="797" w:type="pct"/>
            <w:noWrap w:val="0"/>
            <w:vAlign w:val="center"/>
          </w:tcPr>
          <w:p w14:paraId="2EFD4C3D">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color w:val="auto"/>
                <w:szCs w:val="21"/>
                <w:lang w:bidi="ar"/>
              </w:rPr>
              <w:t>CODcr</w:t>
            </w:r>
          </w:p>
        </w:tc>
        <w:tc>
          <w:tcPr>
            <w:tcW w:w="492" w:type="pct"/>
            <w:noWrap w:val="0"/>
            <w:vAlign w:val="center"/>
          </w:tcPr>
          <w:p w14:paraId="581BF5E5">
            <w:pPr>
              <w:jc w:val="center"/>
              <w:rPr>
                <w:snapToGrid w:val="0"/>
                <w:color w:val="auto"/>
                <w:kern w:val="21"/>
                <w:szCs w:val="21"/>
              </w:rPr>
            </w:pPr>
            <w:r>
              <w:rPr>
                <w:snapToGrid w:val="0"/>
                <w:color w:val="auto"/>
                <w:kern w:val="21"/>
                <w:szCs w:val="21"/>
              </w:rPr>
              <w:t>0</w:t>
            </w:r>
          </w:p>
        </w:tc>
        <w:tc>
          <w:tcPr>
            <w:tcW w:w="384" w:type="pct"/>
            <w:noWrap w:val="0"/>
            <w:vAlign w:val="center"/>
          </w:tcPr>
          <w:p w14:paraId="30A87DE7">
            <w:pPr>
              <w:jc w:val="center"/>
              <w:rPr>
                <w:snapToGrid w:val="0"/>
                <w:color w:val="auto"/>
                <w:kern w:val="21"/>
                <w:szCs w:val="21"/>
              </w:rPr>
            </w:pPr>
            <w:r>
              <w:rPr>
                <w:snapToGrid w:val="0"/>
                <w:color w:val="auto"/>
                <w:kern w:val="21"/>
                <w:szCs w:val="21"/>
              </w:rPr>
              <w:t>0</w:t>
            </w:r>
          </w:p>
        </w:tc>
        <w:tc>
          <w:tcPr>
            <w:tcW w:w="614" w:type="pct"/>
            <w:noWrap w:val="0"/>
            <w:vAlign w:val="center"/>
          </w:tcPr>
          <w:p w14:paraId="31F87AEE">
            <w:pPr>
              <w:jc w:val="center"/>
              <w:rPr>
                <w:snapToGrid w:val="0"/>
                <w:color w:val="auto"/>
                <w:kern w:val="21"/>
                <w:szCs w:val="21"/>
              </w:rPr>
            </w:pPr>
            <w:r>
              <w:rPr>
                <w:snapToGrid w:val="0"/>
                <w:color w:val="auto"/>
                <w:kern w:val="21"/>
                <w:szCs w:val="21"/>
              </w:rPr>
              <w:t>0</w:t>
            </w:r>
          </w:p>
        </w:tc>
        <w:tc>
          <w:tcPr>
            <w:tcW w:w="553" w:type="pct"/>
            <w:noWrap w:val="0"/>
            <w:vAlign w:val="center"/>
          </w:tcPr>
          <w:p w14:paraId="4B873FA1">
            <w:pPr>
              <w:pStyle w:val="95"/>
              <w:numPr>
                <w:ilvl w:val="0"/>
                <w:numId w:val="0"/>
              </w:numPr>
              <w:spacing w:before="0" w:beforeLines="0"/>
              <w:ind w:left="0" w:leftChars="0" w:firstLine="0" w:firstLineChars="0"/>
              <w:jc w:val="center"/>
              <w:rPr>
                <w:snapToGrid w:val="0"/>
                <w:color w:val="auto"/>
                <w:kern w:val="21"/>
                <w:szCs w:val="21"/>
              </w:rPr>
            </w:pPr>
            <w:r>
              <w:rPr>
                <w:rFonts w:hint="default" w:ascii="Times New Roman" w:hAnsi="Times New Roman" w:eastAsia="宋体" w:cs="Times New Roman"/>
                <w:bCs/>
                <w:color w:val="auto"/>
                <w:kern w:val="2"/>
                <w:sz w:val="21"/>
                <w:highlight w:val="none"/>
                <w:lang w:val="en-US" w:eastAsia="zh-CN"/>
              </w:rPr>
              <w:t xml:space="preserve">0.378 </w:t>
            </w:r>
          </w:p>
        </w:tc>
        <w:tc>
          <w:tcPr>
            <w:tcW w:w="711" w:type="pct"/>
            <w:noWrap w:val="0"/>
            <w:vAlign w:val="center"/>
          </w:tcPr>
          <w:p w14:paraId="3E37A2B8">
            <w:pPr>
              <w:jc w:val="center"/>
              <w:rPr>
                <w:snapToGrid w:val="0"/>
                <w:color w:val="auto"/>
                <w:kern w:val="21"/>
                <w:szCs w:val="21"/>
              </w:rPr>
            </w:pPr>
            <w:r>
              <w:rPr>
                <w:snapToGrid w:val="0"/>
                <w:color w:val="auto"/>
                <w:kern w:val="21"/>
                <w:szCs w:val="21"/>
              </w:rPr>
              <w:t>0</w:t>
            </w:r>
          </w:p>
        </w:tc>
        <w:tc>
          <w:tcPr>
            <w:tcW w:w="590" w:type="pct"/>
            <w:shd w:val="clear"/>
            <w:noWrap w:val="0"/>
            <w:vAlign w:val="center"/>
          </w:tcPr>
          <w:p w14:paraId="31248C1A">
            <w:pPr>
              <w:pStyle w:val="95"/>
              <w:numPr>
                <w:ilvl w:val="0"/>
                <w:numId w:val="0"/>
              </w:numPr>
              <w:spacing w:before="0" w:beforeLines="0"/>
              <w:ind w:left="0" w:leftChars="0" w:firstLine="0" w:firstLineChars="0"/>
              <w:jc w:val="center"/>
              <w:rPr>
                <w:rFonts w:ascii="Times New Roman" w:hAnsi="Times New Roman" w:eastAsia="宋体" w:cs="Times New Roman"/>
                <w:b w:val="0"/>
                <w:snapToGrid w:val="0"/>
                <w:color w:val="auto"/>
                <w:kern w:val="21"/>
                <w:sz w:val="20"/>
                <w:szCs w:val="21"/>
                <w:lang w:val="en-US" w:eastAsia="zh-CN" w:bidi="ar-SA"/>
              </w:rPr>
            </w:pPr>
            <w:r>
              <w:rPr>
                <w:rFonts w:hint="default" w:ascii="Times New Roman" w:hAnsi="Times New Roman" w:eastAsia="宋体" w:cs="Times New Roman"/>
                <w:bCs/>
                <w:color w:val="auto"/>
                <w:kern w:val="2"/>
                <w:sz w:val="21"/>
                <w:highlight w:val="none"/>
                <w:lang w:val="en-US" w:eastAsia="zh-CN"/>
              </w:rPr>
              <w:t xml:space="preserve">0.378 </w:t>
            </w:r>
          </w:p>
        </w:tc>
        <w:tc>
          <w:tcPr>
            <w:tcW w:w="367" w:type="pct"/>
            <w:shd w:val="clear"/>
            <w:noWrap w:val="0"/>
            <w:vAlign w:val="center"/>
          </w:tcPr>
          <w:p w14:paraId="300E8520">
            <w:pPr>
              <w:pStyle w:val="95"/>
              <w:numPr>
                <w:ilvl w:val="0"/>
                <w:numId w:val="0"/>
              </w:numPr>
              <w:spacing w:before="0" w:beforeLines="0"/>
              <w:ind w:left="0" w:leftChars="0" w:firstLine="0" w:firstLineChars="0"/>
              <w:jc w:val="center"/>
              <w:rPr>
                <w:rFonts w:ascii="Times New Roman" w:hAnsi="Times New Roman" w:eastAsia="宋体" w:cs="Times New Roman"/>
                <w:b w:val="0"/>
                <w:snapToGrid w:val="0"/>
                <w:color w:val="auto"/>
                <w:kern w:val="21"/>
                <w:sz w:val="20"/>
                <w:szCs w:val="21"/>
                <w:lang w:val="en-US" w:eastAsia="zh-CN" w:bidi="ar-SA"/>
              </w:rPr>
            </w:pPr>
            <w:r>
              <w:rPr>
                <w:rFonts w:hint="eastAsia" w:ascii="Times New Roman" w:hAnsi="Times New Roman" w:eastAsia="宋体" w:cs="Times New Roman"/>
                <w:bCs/>
                <w:color w:val="auto"/>
                <w:kern w:val="2"/>
                <w:sz w:val="21"/>
                <w:highlight w:val="none"/>
                <w:lang w:val="en-US" w:eastAsia="zh-CN"/>
              </w:rPr>
              <w:t>+</w:t>
            </w:r>
            <w:r>
              <w:rPr>
                <w:rFonts w:hint="default" w:ascii="Times New Roman" w:hAnsi="Times New Roman" w:eastAsia="宋体" w:cs="Times New Roman"/>
                <w:bCs/>
                <w:color w:val="auto"/>
                <w:kern w:val="2"/>
                <w:sz w:val="21"/>
                <w:highlight w:val="none"/>
                <w:lang w:val="en-US" w:eastAsia="zh-CN"/>
              </w:rPr>
              <w:t xml:space="preserve">0.378 </w:t>
            </w:r>
          </w:p>
        </w:tc>
      </w:tr>
      <w:tr w14:paraId="0A3380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2BEEDFEC">
            <w:pPr>
              <w:pStyle w:val="80"/>
              <w:spacing w:beforeLines="0" w:afterLines="0" w:line="240" w:lineRule="auto"/>
              <w:jc w:val="center"/>
              <w:rPr>
                <w:rFonts w:ascii="Times New Roman"/>
                <w:snapToGrid w:val="0"/>
                <w:color w:val="auto"/>
                <w:kern w:val="21"/>
                <w:szCs w:val="21"/>
              </w:rPr>
            </w:pPr>
          </w:p>
        </w:tc>
        <w:tc>
          <w:tcPr>
            <w:tcW w:w="797" w:type="pct"/>
            <w:noWrap w:val="0"/>
            <w:vAlign w:val="center"/>
          </w:tcPr>
          <w:p w14:paraId="259E3007">
            <w:pPr>
              <w:pStyle w:val="80"/>
              <w:spacing w:beforeLines="0" w:afterLines="0" w:line="240" w:lineRule="auto"/>
              <w:ind w:left="0" w:leftChars="0" w:firstLine="0" w:firstLineChars="0"/>
              <w:jc w:val="center"/>
              <w:rPr>
                <w:rFonts w:ascii="Times New Roman"/>
                <w:color w:val="auto"/>
                <w:szCs w:val="21"/>
                <w:lang w:bidi="ar"/>
              </w:rPr>
            </w:pPr>
            <w:r>
              <w:rPr>
                <w:rFonts w:ascii="Times New Roman"/>
                <w:color w:val="auto"/>
                <w:szCs w:val="21"/>
                <w:lang w:bidi="ar"/>
              </w:rPr>
              <w:t>BOD</w:t>
            </w:r>
            <w:r>
              <w:rPr>
                <w:rFonts w:ascii="Times New Roman"/>
                <w:color w:val="auto"/>
                <w:szCs w:val="21"/>
                <w:vertAlign w:val="subscript"/>
                <w:lang w:bidi="ar"/>
              </w:rPr>
              <w:t>5</w:t>
            </w:r>
          </w:p>
        </w:tc>
        <w:tc>
          <w:tcPr>
            <w:tcW w:w="492" w:type="pct"/>
            <w:noWrap w:val="0"/>
            <w:vAlign w:val="center"/>
          </w:tcPr>
          <w:p w14:paraId="5C77502E">
            <w:pPr>
              <w:jc w:val="center"/>
              <w:rPr>
                <w:snapToGrid w:val="0"/>
                <w:color w:val="auto"/>
                <w:kern w:val="21"/>
                <w:szCs w:val="21"/>
              </w:rPr>
            </w:pPr>
            <w:r>
              <w:rPr>
                <w:snapToGrid w:val="0"/>
                <w:color w:val="auto"/>
                <w:kern w:val="21"/>
                <w:szCs w:val="21"/>
              </w:rPr>
              <w:t>0</w:t>
            </w:r>
          </w:p>
        </w:tc>
        <w:tc>
          <w:tcPr>
            <w:tcW w:w="384" w:type="pct"/>
            <w:noWrap w:val="0"/>
            <w:vAlign w:val="center"/>
          </w:tcPr>
          <w:p w14:paraId="79B9BB32">
            <w:pPr>
              <w:jc w:val="center"/>
              <w:rPr>
                <w:snapToGrid w:val="0"/>
                <w:color w:val="auto"/>
                <w:kern w:val="21"/>
                <w:szCs w:val="21"/>
              </w:rPr>
            </w:pPr>
            <w:r>
              <w:rPr>
                <w:snapToGrid w:val="0"/>
                <w:color w:val="auto"/>
                <w:kern w:val="21"/>
                <w:szCs w:val="21"/>
              </w:rPr>
              <w:t>0</w:t>
            </w:r>
          </w:p>
        </w:tc>
        <w:tc>
          <w:tcPr>
            <w:tcW w:w="614" w:type="pct"/>
            <w:noWrap w:val="0"/>
            <w:vAlign w:val="center"/>
          </w:tcPr>
          <w:p w14:paraId="10567910">
            <w:pPr>
              <w:jc w:val="center"/>
              <w:rPr>
                <w:snapToGrid w:val="0"/>
                <w:color w:val="auto"/>
                <w:kern w:val="21"/>
                <w:szCs w:val="21"/>
              </w:rPr>
            </w:pPr>
            <w:r>
              <w:rPr>
                <w:snapToGrid w:val="0"/>
                <w:color w:val="auto"/>
                <w:kern w:val="21"/>
                <w:szCs w:val="21"/>
              </w:rPr>
              <w:t>0</w:t>
            </w:r>
          </w:p>
        </w:tc>
        <w:tc>
          <w:tcPr>
            <w:tcW w:w="553" w:type="pct"/>
            <w:shd w:val="clear" w:color="auto" w:fill="auto"/>
            <w:noWrap w:val="0"/>
            <w:vAlign w:val="center"/>
          </w:tcPr>
          <w:p w14:paraId="6DB80F30">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default" w:ascii="Times New Roman" w:hAnsi="Times New Roman" w:eastAsia="宋体" w:cs="Times New Roman"/>
                <w:bCs/>
                <w:color w:val="auto"/>
                <w:kern w:val="2"/>
                <w:sz w:val="21"/>
                <w:highlight w:val="none"/>
                <w:lang w:val="en-US" w:eastAsia="zh-CN"/>
              </w:rPr>
              <w:t xml:space="preserve">0.227 </w:t>
            </w:r>
          </w:p>
        </w:tc>
        <w:tc>
          <w:tcPr>
            <w:tcW w:w="711" w:type="pct"/>
            <w:noWrap w:val="0"/>
            <w:vAlign w:val="center"/>
          </w:tcPr>
          <w:p w14:paraId="35E9F1EE">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719C9804">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default" w:ascii="Times New Roman" w:hAnsi="Times New Roman" w:eastAsia="宋体" w:cs="Times New Roman"/>
                <w:bCs/>
                <w:color w:val="auto"/>
                <w:kern w:val="2"/>
                <w:sz w:val="21"/>
                <w:highlight w:val="none"/>
                <w:lang w:val="en-US" w:eastAsia="zh-CN"/>
              </w:rPr>
              <w:t xml:space="preserve">0.227 </w:t>
            </w:r>
          </w:p>
        </w:tc>
        <w:tc>
          <w:tcPr>
            <w:tcW w:w="367" w:type="pct"/>
            <w:shd w:val="clear" w:color="auto" w:fill="auto"/>
            <w:noWrap w:val="0"/>
            <w:vAlign w:val="center"/>
          </w:tcPr>
          <w:p w14:paraId="30F39619">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eastAsia" w:ascii="Times New Roman" w:hAnsi="Times New Roman" w:eastAsia="宋体" w:cs="Times New Roman"/>
                <w:bCs/>
                <w:color w:val="auto"/>
                <w:kern w:val="2"/>
                <w:sz w:val="21"/>
                <w:highlight w:val="none"/>
                <w:lang w:val="en-US" w:eastAsia="zh-CN"/>
              </w:rPr>
              <w:t>+</w:t>
            </w:r>
            <w:r>
              <w:rPr>
                <w:rFonts w:hint="default" w:ascii="Times New Roman" w:hAnsi="Times New Roman" w:eastAsia="宋体" w:cs="Times New Roman"/>
                <w:bCs/>
                <w:color w:val="auto"/>
                <w:kern w:val="2"/>
                <w:sz w:val="21"/>
                <w:highlight w:val="none"/>
                <w:lang w:val="en-US" w:eastAsia="zh-CN"/>
              </w:rPr>
              <w:t xml:space="preserve">0.227 </w:t>
            </w:r>
          </w:p>
        </w:tc>
      </w:tr>
      <w:tr w14:paraId="1285EA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5D301EB2">
            <w:pPr>
              <w:pStyle w:val="80"/>
              <w:spacing w:beforeLines="0" w:afterLines="0" w:line="240" w:lineRule="auto"/>
              <w:jc w:val="center"/>
              <w:rPr>
                <w:rFonts w:ascii="Times New Roman"/>
                <w:snapToGrid w:val="0"/>
                <w:color w:val="auto"/>
                <w:kern w:val="21"/>
                <w:szCs w:val="21"/>
              </w:rPr>
            </w:pPr>
          </w:p>
        </w:tc>
        <w:tc>
          <w:tcPr>
            <w:tcW w:w="797" w:type="pct"/>
            <w:noWrap w:val="0"/>
            <w:vAlign w:val="center"/>
          </w:tcPr>
          <w:p w14:paraId="63A69EA8">
            <w:pPr>
              <w:pStyle w:val="80"/>
              <w:spacing w:beforeLines="0" w:afterLines="0" w:line="240" w:lineRule="auto"/>
              <w:ind w:left="0" w:leftChars="0" w:firstLine="0" w:firstLineChars="0"/>
              <w:jc w:val="center"/>
              <w:rPr>
                <w:rFonts w:ascii="Times New Roman"/>
                <w:color w:val="auto"/>
                <w:szCs w:val="21"/>
                <w:lang w:bidi="ar"/>
              </w:rPr>
            </w:pPr>
            <w:r>
              <w:rPr>
                <w:rFonts w:ascii="Times New Roman"/>
                <w:color w:val="auto"/>
                <w:szCs w:val="21"/>
                <w:lang w:bidi="ar"/>
              </w:rPr>
              <w:t>SS</w:t>
            </w:r>
          </w:p>
        </w:tc>
        <w:tc>
          <w:tcPr>
            <w:tcW w:w="492" w:type="pct"/>
            <w:noWrap w:val="0"/>
            <w:vAlign w:val="center"/>
          </w:tcPr>
          <w:p w14:paraId="339E0AFB">
            <w:pPr>
              <w:jc w:val="center"/>
              <w:rPr>
                <w:snapToGrid w:val="0"/>
                <w:color w:val="auto"/>
                <w:kern w:val="21"/>
                <w:szCs w:val="21"/>
              </w:rPr>
            </w:pPr>
            <w:r>
              <w:rPr>
                <w:snapToGrid w:val="0"/>
                <w:color w:val="auto"/>
                <w:kern w:val="21"/>
                <w:szCs w:val="21"/>
              </w:rPr>
              <w:t>0</w:t>
            </w:r>
          </w:p>
        </w:tc>
        <w:tc>
          <w:tcPr>
            <w:tcW w:w="384" w:type="pct"/>
            <w:noWrap w:val="0"/>
            <w:vAlign w:val="center"/>
          </w:tcPr>
          <w:p w14:paraId="7A028BCA">
            <w:pPr>
              <w:jc w:val="center"/>
              <w:rPr>
                <w:snapToGrid w:val="0"/>
                <w:color w:val="auto"/>
                <w:kern w:val="21"/>
                <w:szCs w:val="21"/>
              </w:rPr>
            </w:pPr>
            <w:r>
              <w:rPr>
                <w:snapToGrid w:val="0"/>
                <w:color w:val="auto"/>
                <w:kern w:val="21"/>
                <w:szCs w:val="21"/>
              </w:rPr>
              <w:t>0</w:t>
            </w:r>
          </w:p>
        </w:tc>
        <w:tc>
          <w:tcPr>
            <w:tcW w:w="614" w:type="pct"/>
            <w:noWrap w:val="0"/>
            <w:vAlign w:val="center"/>
          </w:tcPr>
          <w:p w14:paraId="60F7F0AD">
            <w:pPr>
              <w:jc w:val="center"/>
              <w:rPr>
                <w:snapToGrid w:val="0"/>
                <w:color w:val="auto"/>
                <w:kern w:val="21"/>
                <w:szCs w:val="21"/>
              </w:rPr>
            </w:pPr>
            <w:r>
              <w:rPr>
                <w:snapToGrid w:val="0"/>
                <w:color w:val="auto"/>
                <w:kern w:val="21"/>
                <w:szCs w:val="21"/>
              </w:rPr>
              <w:t>0</w:t>
            </w:r>
          </w:p>
        </w:tc>
        <w:tc>
          <w:tcPr>
            <w:tcW w:w="553" w:type="pct"/>
            <w:shd w:val="clear" w:color="auto" w:fill="auto"/>
            <w:noWrap w:val="0"/>
            <w:vAlign w:val="center"/>
          </w:tcPr>
          <w:p w14:paraId="12092396">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default" w:ascii="Times New Roman" w:hAnsi="Times New Roman" w:eastAsia="宋体" w:cs="Times New Roman"/>
                <w:bCs/>
                <w:color w:val="auto"/>
                <w:kern w:val="2"/>
                <w:sz w:val="21"/>
                <w:highlight w:val="none"/>
                <w:lang w:val="en-US" w:eastAsia="zh-CN"/>
              </w:rPr>
              <w:t xml:space="preserve">0.302 </w:t>
            </w:r>
          </w:p>
        </w:tc>
        <w:tc>
          <w:tcPr>
            <w:tcW w:w="711" w:type="pct"/>
            <w:noWrap w:val="0"/>
            <w:vAlign w:val="center"/>
          </w:tcPr>
          <w:p w14:paraId="74D20553">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4DB43F68">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default" w:ascii="Times New Roman" w:hAnsi="Times New Roman" w:eastAsia="宋体" w:cs="Times New Roman"/>
                <w:bCs/>
                <w:color w:val="auto"/>
                <w:kern w:val="2"/>
                <w:sz w:val="21"/>
                <w:highlight w:val="none"/>
                <w:lang w:val="en-US" w:eastAsia="zh-CN"/>
              </w:rPr>
              <w:t xml:space="preserve">0.302 </w:t>
            </w:r>
          </w:p>
        </w:tc>
        <w:tc>
          <w:tcPr>
            <w:tcW w:w="367" w:type="pct"/>
            <w:shd w:val="clear" w:color="auto" w:fill="auto"/>
            <w:noWrap w:val="0"/>
            <w:vAlign w:val="center"/>
          </w:tcPr>
          <w:p w14:paraId="102A8A8C">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eastAsia" w:ascii="Times New Roman" w:hAnsi="Times New Roman" w:eastAsia="宋体" w:cs="Times New Roman"/>
                <w:bCs/>
                <w:color w:val="auto"/>
                <w:kern w:val="2"/>
                <w:sz w:val="21"/>
                <w:highlight w:val="none"/>
                <w:lang w:val="en-US" w:eastAsia="zh-CN"/>
              </w:rPr>
              <w:t>+</w:t>
            </w:r>
            <w:r>
              <w:rPr>
                <w:rFonts w:hint="default" w:ascii="Times New Roman" w:hAnsi="Times New Roman" w:eastAsia="宋体" w:cs="Times New Roman"/>
                <w:bCs/>
                <w:color w:val="auto"/>
                <w:kern w:val="2"/>
                <w:sz w:val="21"/>
                <w:highlight w:val="none"/>
                <w:lang w:val="en-US" w:eastAsia="zh-CN"/>
              </w:rPr>
              <w:t xml:space="preserve">0.302 </w:t>
            </w:r>
          </w:p>
        </w:tc>
      </w:tr>
      <w:tr w14:paraId="19EB3C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3E6ACDF5">
            <w:pPr>
              <w:pStyle w:val="80"/>
              <w:spacing w:beforeLines="0" w:afterLines="0" w:line="240" w:lineRule="auto"/>
              <w:jc w:val="center"/>
              <w:rPr>
                <w:rFonts w:ascii="Times New Roman"/>
                <w:snapToGrid w:val="0"/>
                <w:color w:val="auto"/>
                <w:kern w:val="21"/>
                <w:szCs w:val="21"/>
              </w:rPr>
            </w:pPr>
          </w:p>
        </w:tc>
        <w:tc>
          <w:tcPr>
            <w:tcW w:w="797" w:type="pct"/>
            <w:noWrap w:val="0"/>
            <w:vAlign w:val="center"/>
          </w:tcPr>
          <w:p w14:paraId="6E9B24E5">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color w:val="auto"/>
                <w:szCs w:val="21"/>
                <w:lang w:bidi="ar"/>
              </w:rPr>
              <w:t>NH</w:t>
            </w:r>
            <w:r>
              <w:rPr>
                <w:rFonts w:ascii="Times New Roman"/>
                <w:color w:val="auto"/>
                <w:szCs w:val="21"/>
                <w:vertAlign w:val="subscript"/>
                <w:lang w:bidi="ar"/>
              </w:rPr>
              <w:t>3</w:t>
            </w:r>
            <w:r>
              <w:rPr>
                <w:rFonts w:ascii="Times New Roman"/>
                <w:color w:val="auto"/>
                <w:szCs w:val="21"/>
                <w:lang w:bidi="ar"/>
              </w:rPr>
              <w:t>-N</w:t>
            </w:r>
          </w:p>
        </w:tc>
        <w:tc>
          <w:tcPr>
            <w:tcW w:w="492" w:type="pct"/>
            <w:noWrap w:val="0"/>
            <w:vAlign w:val="center"/>
          </w:tcPr>
          <w:p w14:paraId="189B6A23">
            <w:pPr>
              <w:jc w:val="center"/>
              <w:rPr>
                <w:snapToGrid w:val="0"/>
                <w:color w:val="auto"/>
                <w:kern w:val="21"/>
                <w:szCs w:val="21"/>
              </w:rPr>
            </w:pPr>
            <w:r>
              <w:rPr>
                <w:snapToGrid w:val="0"/>
                <w:color w:val="auto"/>
                <w:kern w:val="21"/>
                <w:szCs w:val="21"/>
              </w:rPr>
              <w:t>0</w:t>
            </w:r>
          </w:p>
        </w:tc>
        <w:tc>
          <w:tcPr>
            <w:tcW w:w="384" w:type="pct"/>
            <w:noWrap w:val="0"/>
            <w:vAlign w:val="center"/>
          </w:tcPr>
          <w:p w14:paraId="2EA835A6">
            <w:pPr>
              <w:jc w:val="center"/>
              <w:rPr>
                <w:snapToGrid w:val="0"/>
                <w:color w:val="auto"/>
                <w:kern w:val="21"/>
                <w:szCs w:val="21"/>
              </w:rPr>
            </w:pPr>
            <w:r>
              <w:rPr>
                <w:snapToGrid w:val="0"/>
                <w:color w:val="auto"/>
                <w:kern w:val="21"/>
                <w:szCs w:val="21"/>
              </w:rPr>
              <w:t>0</w:t>
            </w:r>
          </w:p>
        </w:tc>
        <w:tc>
          <w:tcPr>
            <w:tcW w:w="614" w:type="pct"/>
            <w:noWrap w:val="0"/>
            <w:vAlign w:val="center"/>
          </w:tcPr>
          <w:p w14:paraId="6C5C13E2">
            <w:pPr>
              <w:jc w:val="center"/>
              <w:rPr>
                <w:snapToGrid w:val="0"/>
                <w:color w:val="auto"/>
                <w:kern w:val="21"/>
                <w:szCs w:val="21"/>
              </w:rPr>
            </w:pPr>
            <w:r>
              <w:rPr>
                <w:snapToGrid w:val="0"/>
                <w:color w:val="auto"/>
                <w:kern w:val="21"/>
                <w:szCs w:val="21"/>
              </w:rPr>
              <w:t>0</w:t>
            </w:r>
          </w:p>
        </w:tc>
        <w:tc>
          <w:tcPr>
            <w:tcW w:w="553" w:type="pct"/>
            <w:shd w:val="clear" w:color="auto" w:fill="auto"/>
            <w:noWrap w:val="0"/>
            <w:vAlign w:val="center"/>
          </w:tcPr>
          <w:p w14:paraId="400BD5DF">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default" w:ascii="Times New Roman" w:hAnsi="Times New Roman" w:eastAsia="宋体" w:cs="Times New Roman"/>
                <w:bCs/>
                <w:color w:val="auto"/>
                <w:kern w:val="2"/>
                <w:sz w:val="21"/>
                <w:highlight w:val="none"/>
                <w:lang w:val="en-US" w:eastAsia="zh-CN"/>
              </w:rPr>
              <w:t xml:space="preserve">0.038 </w:t>
            </w:r>
          </w:p>
        </w:tc>
        <w:tc>
          <w:tcPr>
            <w:tcW w:w="711" w:type="pct"/>
            <w:noWrap w:val="0"/>
            <w:vAlign w:val="center"/>
          </w:tcPr>
          <w:p w14:paraId="55009981">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26B69B3A">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default" w:ascii="Times New Roman" w:hAnsi="Times New Roman" w:eastAsia="宋体" w:cs="Times New Roman"/>
                <w:bCs/>
                <w:color w:val="auto"/>
                <w:kern w:val="2"/>
                <w:sz w:val="21"/>
                <w:highlight w:val="none"/>
                <w:lang w:val="en-US" w:eastAsia="zh-CN"/>
              </w:rPr>
              <w:t xml:space="preserve">0.038 </w:t>
            </w:r>
          </w:p>
        </w:tc>
        <w:tc>
          <w:tcPr>
            <w:tcW w:w="367" w:type="pct"/>
            <w:shd w:val="clear" w:color="auto" w:fill="auto"/>
            <w:noWrap w:val="0"/>
            <w:vAlign w:val="center"/>
          </w:tcPr>
          <w:p w14:paraId="41922071">
            <w:pPr>
              <w:pStyle w:val="95"/>
              <w:numPr>
                <w:ilvl w:val="0"/>
                <w:numId w:val="0"/>
              </w:numPr>
              <w:spacing w:before="0"/>
              <w:ind w:left="0" w:leftChars="0" w:firstLine="0" w:firstLineChars="0"/>
              <w:rPr>
                <w:rFonts w:hint="default" w:ascii="Times New Roman" w:hAnsi="Times New Roman" w:eastAsia="宋体" w:cs="Times New Roman"/>
                <w:b w:val="0"/>
                <w:bCs/>
                <w:color w:val="auto"/>
                <w:kern w:val="2"/>
                <w:sz w:val="21"/>
                <w:szCs w:val="20"/>
                <w:highlight w:val="none"/>
                <w:lang w:val="en-US" w:eastAsia="zh-CN" w:bidi="ar-SA"/>
              </w:rPr>
            </w:pPr>
            <w:r>
              <w:rPr>
                <w:rFonts w:hint="eastAsia" w:ascii="Times New Roman" w:hAnsi="Times New Roman" w:eastAsia="宋体" w:cs="Times New Roman"/>
                <w:bCs/>
                <w:color w:val="auto"/>
                <w:kern w:val="2"/>
                <w:sz w:val="21"/>
                <w:highlight w:val="none"/>
                <w:lang w:val="en-US" w:eastAsia="zh-CN"/>
              </w:rPr>
              <w:t>+</w:t>
            </w:r>
            <w:r>
              <w:rPr>
                <w:rFonts w:hint="default" w:ascii="Times New Roman" w:hAnsi="Times New Roman" w:eastAsia="宋体" w:cs="Times New Roman"/>
                <w:bCs/>
                <w:color w:val="auto"/>
                <w:kern w:val="2"/>
                <w:sz w:val="21"/>
                <w:highlight w:val="none"/>
                <w:lang w:val="en-US" w:eastAsia="zh-CN"/>
              </w:rPr>
              <w:t xml:space="preserve">0.038 </w:t>
            </w:r>
          </w:p>
        </w:tc>
      </w:tr>
      <w:tr w14:paraId="6EE92D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restart"/>
            <w:noWrap w:val="0"/>
            <w:vAlign w:val="center"/>
          </w:tcPr>
          <w:p w14:paraId="43E773A7">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snapToGrid w:val="0"/>
                <w:color w:val="auto"/>
                <w:kern w:val="21"/>
                <w:szCs w:val="21"/>
              </w:rPr>
              <w:t>一般工业</w:t>
            </w:r>
          </w:p>
          <w:p w14:paraId="3A64D6CD">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snapToGrid w:val="0"/>
                <w:color w:val="auto"/>
                <w:kern w:val="21"/>
                <w:szCs w:val="21"/>
              </w:rPr>
              <w:t>固体废物</w:t>
            </w:r>
          </w:p>
        </w:tc>
        <w:tc>
          <w:tcPr>
            <w:tcW w:w="797" w:type="pct"/>
            <w:noWrap w:val="0"/>
            <w:vAlign w:val="center"/>
          </w:tcPr>
          <w:p w14:paraId="5A181507">
            <w:pPr>
              <w:pStyle w:val="80"/>
              <w:spacing w:beforeLines="0" w:afterLines="0" w:line="240" w:lineRule="auto"/>
              <w:ind w:left="0" w:leftChars="0" w:firstLine="0" w:firstLineChars="0"/>
              <w:jc w:val="center"/>
              <w:rPr>
                <w:rFonts w:hint="eastAsia" w:ascii="Times New Roman" w:eastAsia="宋体"/>
                <w:color w:val="auto"/>
                <w:kern w:val="2"/>
                <w:szCs w:val="21"/>
                <w:lang w:val="en-US" w:eastAsia="zh-CN"/>
              </w:rPr>
            </w:pPr>
            <w:r>
              <w:rPr>
                <w:rFonts w:hint="eastAsia" w:ascii="Times New Roman"/>
                <w:color w:val="auto"/>
                <w:kern w:val="2"/>
                <w:szCs w:val="21"/>
                <w:lang w:val="en-US" w:eastAsia="zh-CN"/>
              </w:rPr>
              <w:t>一般</w:t>
            </w:r>
            <w:r>
              <w:rPr>
                <w:rFonts w:ascii="Times New Roman"/>
                <w:color w:val="auto"/>
                <w:kern w:val="2"/>
                <w:szCs w:val="21"/>
              </w:rPr>
              <w:t>废包装</w:t>
            </w:r>
            <w:r>
              <w:rPr>
                <w:rFonts w:hint="eastAsia" w:ascii="Times New Roman"/>
                <w:color w:val="auto"/>
                <w:kern w:val="2"/>
                <w:szCs w:val="21"/>
                <w:lang w:val="en-US" w:eastAsia="zh-CN"/>
              </w:rPr>
              <w:t>袋</w:t>
            </w:r>
          </w:p>
        </w:tc>
        <w:tc>
          <w:tcPr>
            <w:tcW w:w="492" w:type="pct"/>
            <w:noWrap w:val="0"/>
            <w:vAlign w:val="center"/>
          </w:tcPr>
          <w:p w14:paraId="6EA9A0B0">
            <w:pPr>
              <w:jc w:val="center"/>
              <w:rPr>
                <w:rFonts w:ascii="Times New Roman"/>
                <w:color w:val="auto"/>
                <w:szCs w:val="21"/>
                <w:lang w:bidi="ar"/>
              </w:rPr>
            </w:pPr>
            <w:r>
              <w:rPr>
                <w:snapToGrid w:val="0"/>
                <w:color w:val="auto"/>
                <w:kern w:val="21"/>
                <w:szCs w:val="21"/>
              </w:rPr>
              <w:t>0</w:t>
            </w:r>
          </w:p>
        </w:tc>
        <w:tc>
          <w:tcPr>
            <w:tcW w:w="384" w:type="pct"/>
            <w:noWrap w:val="0"/>
            <w:vAlign w:val="center"/>
          </w:tcPr>
          <w:p w14:paraId="4BD11795">
            <w:pPr>
              <w:jc w:val="center"/>
              <w:rPr>
                <w:rFonts w:ascii="Times New Roman"/>
                <w:color w:val="auto"/>
                <w:szCs w:val="21"/>
                <w:lang w:bidi="ar"/>
              </w:rPr>
            </w:pPr>
            <w:r>
              <w:rPr>
                <w:snapToGrid w:val="0"/>
                <w:color w:val="auto"/>
                <w:kern w:val="21"/>
                <w:szCs w:val="21"/>
              </w:rPr>
              <w:t>0</w:t>
            </w:r>
          </w:p>
        </w:tc>
        <w:tc>
          <w:tcPr>
            <w:tcW w:w="614" w:type="pct"/>
            <w:noWrap w:val="0"/>
            <w:vAlign w:val="center"/>
          </w:tcPr>
          <w:p w14:paraId="2225AFAD">
            <w:pPr>
              <w:pStyle w:val="80"/>
              <w:spacing w:beforeLines="0" w:afterLines="0" w:line="240" w:lineRule="auto"/>
              <w:jc w:val="center"/>
              <w:rPr>
                <w:rFonts w:ascii="Times New Roman"/>
                <w:color w:val="auto"/>
                <w:szCs w:val="21"/>
                <w:lang w:bidi="ar"/>
              </w:rPr>
            </w:pPr>
            <w:r>
              <w:rPr>
                <w:rFonts w:ascii="Times New Roman"/>
                <w:color w:val="auto"/>
                <w:szCs w:val="21"/>
                <w:lang w:bidi="ar"/>
              </w:rPr>
              <w:t>0</w:t>
            </w:r>
          </w:p>
        </w:tc>
        <w:tc>
          <w:tcPr>
            <w:tcW w:w="553" w:type="pct"/>
            <w:noWrap w:val="0"/>
            <w:vAlign w:val="center"/>
          </w:tcPr>
          <w:p w14:paraId="005D4F3B">
            <w:pPr>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0.162</w:t>
            </w:r>
          </w:p>
        </w:tc>
        <w:tc>
          <w:tcPr>
            <w:tcW w:w="711" w:type="pct"/>
            <w:noWrap w:val="0"/>
            <w:vAlign w:val="center"/>
          </w:tcPr>
          <w:p w14:paraId="7767FED4">
            <w:pPr>
              <w:jc w:val="center"/>
              <w:rPr>
                <w:snapToGrid w:val="0"/>
                <w:color w:val="auto"/>
                <w:kern w:val="21"/>
                <w:szCs w:val="21"/>
              </w:rPr>
            </w:pPr>
            <w:r>
              <w:rPr>
                <w:snapToGrid w:val="0"/>
                <w:color w:val="auto"/>
                <w:kern w:val="21"/>
                <w:szCs w:val="21"/>
              </w:rPr>
              <w:t>0</w:t>
            </w:r>
          </w:p>
        </w:tc>
        <w:tc>
          <w:tcPr>
            <w:tcW w:w="590" w:type="pct"/>
            <w:shd w:val="clear"/>
            <w:noWrap w:val="0"/>
            <w:vAlign w:val="center"/>
          </w:tcPr>
          <w:p w14:paraId="2BD0EF1D">
            <w:pPr>
              <w:jc w:val="center"/>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0.162</w:t>
            </w:r>
          </w:p>
        </w:tc>
        <w:tc>
          <w:tcPr>
            <w:tcW w:w="367" w:type="pct"/>
            <w:shd w:val="clear"/>
            <w:noWrap w:val="0"/>
            <w:vAlign w:val="center"/>
          </w:tcPr>
          <w:p w14:paraId="25AFB116">
            <w:pPr>
              <w:jc w:val="center"/>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+0.162</w:t>
            </w:r>
          </w:p>
        </w:tc>
      </w:tr>
      <w:tr w14:paraId="2F3AF0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5AC557EF">
            <w:pPr>
              <w:pStyle w:val="80"/>
              <w:spacing w:beforeLines="0" w:afterLines="0" w:line="240" w:lineRule="auto"/>
              <w:jc w:val="center"/>
              <w:rPr>
                <w:rFonts w:ascii="Times New Roman"/>
                <w:snapToGrid w:val="0"/>
                <w:color w:val="auto"/>
                <w:kern w:val="21"/>
                <w:szCs w:val="21"/>
              </w:rPr>
            </w:pPr>
          </w:p>
        </w:tc>
        <w:tc>
          <w:tcPr>
            <w:tcW w:w="797" w:type="pct"/>
            <w:noWrap w:val="0"/>
            <w:vAlign w:val="center"/>
          </w:tcPr>
          <w:p w14:paraId="14CCC1E8">
            <w:pPr>
              <w:pStyle w:val="80"/>
              <w:spacing w:beforeLines="0" w:afterLines="0" w:line="240" w:lineRule="auto"/>
              <w:ind w:left="0" w:leftChars="0" w:firstLine="0" w:firstLineChars="0"/>
              <w:jc w:val="center"/>
              <w:rPr>
                <w:rFonts w:ascii="Times New Roman"/>
                <w:color w:val="auto"/>
                <w:kern w:val="2"/>
                <w:szCs w:val="21"/>
              </w:rPr>
            </w:pPr>
            <w:r>
              <w:rPr>
                <w:rFonts w:hint="eastAsia" w:ascii="Times New Roman"/>
                <w:color w:val="auto"/>
                <w:kern w:val="2"/>
                <w:szCs w:val="21"/>
              </w:rPr>
              <w:t>塑料配件次品</w:t>
            </w:r>
          </w:p>
        </w:tc>
        <w:tc>
          <w:tcPr>
            <w:tcW w:w="492" w:type="pct"/>
            <w:noWrap w:val="0"/>
            <w:vAlign w:val="center"/>
          </w:tcPr>
          <w:p w14:paraId="75A90CB1">
            <w:pPr>
              <w:jc w:val="center"/>
              <w:rPr>
                <w:rFonts w:ascii="Times New Roman"/>
                <w:color w:val="auto"/>
                <w:szCs w:val="21"/>
                <w:lang w:bidi="ar"/>
              </w:rPr>
            </w:pPr>
            <w:r>
              <w:rPr>
                <w:snapToGrid w:val="0"/>
                <w:color w:val="auto"/>
                <w:kern w:val="21"/>
                <w:szCs w:val="21"/>
              </w:rPr>
              <w:t>0</w:t>
            </w:r>
          </w:p>
        </w:tc>
        <w:tc>
          <w:tcPr>
            <w:tcW w:w="384" w:type="pct"/>
            <w:noWrap w:val="0"/>
            <w:vAlign w:val="center"/>
          </w:tcPr>
          <w:p w14:paraId="2930B6E7">
            <w:pPr>
              <w:jc w:val="center"/>
              <w:rPr>
                <w:rFonts w:ascii="Times New Roman"/>
                <w:color w:val="auto"/>
                <w:szCs w:val="21"/>
                <w:lang w:bidi="ar"/>
              </w:rPr>
            </w:pPr>
            <w:r>
              <w:rPr>
                <w:snapToGrid w:val="0"/>
                <w:color w:val="auto"/>
                <w:kern w:val="21"/>
                <w:szCs w:val="21"/>
              </w:rPr>
              <w:t>0</w:t>
            </w:r>
          </w:p>
        </w:tc>
        <w:tc>
          <w:tcPr>
            <w:tcW w:w="614" w:type="pct"/>
            <w:noWrap w:val="0"/>
            <w:vAlign w:val="center"/>
          </w:tcPr>
          <w:p w14:paraId="6D26A0E9">
            <w:pPr>
              <w:pStyle w:val="80"/>
              <w:spacing w:beforeLines="0" w:afterLines="0" w:line="240" w:lineRule="auto"/>
              <w:jc w:val="center"/>
              <w:rPr>
                <w:rFonts w:ascii="Times New Roman"/>
                <w:color w:val="auto"/>
                <w:szCs w:val="21"/>
                <w:lang w:bidi="ar"/>
              </w:rPr>
            </w:pPr>
            <w:r>
              <w:rPr>
                <w:rFonts w:ascii="Times New Roman"/>
                <w:color w:val="auto"/>
                <w:szCs w:val="21"/>
                <w:lang w:bidi="ar"/>
              </w:rPr>
              <w:t>0</w:t>
            </w:r>
          </w:p>
        </w:tc>
        <w:tc>
          <w:tcPr>
            <w:tcW w:w="553" w:type="pct"/>
            <w:noWrap w:val="0"/>
            <w:vAlign w:val="center"/>
          </w:tcPr>
          <w:p w14:paraId="68521878">
            <w:pPr>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0.4206</w:t>
            </w:r>
          </w:p>
        </w:tc>
        <w:tc>
          <w:tcPr>
            <w:tcW w:w="711" w:type="pct"/>
            <w:noWrap w:val="0"/>
            <w:vAlign w:val="center"/>
          </w:tcPr>
          <w:p w14:paraId="447F498F">
            <w:pPr>
              <w:jc w:val="center"/>
              <w:rPr>
                <w:snapToGrid w:val="0"/>
                <w:color w:val="auto"/>
                <w:kern w:val="21"/>
                <w:szCs w:val="21"/>
              </w:rPr>
            </w:pPr>
            <w:r>
              <w:rPr>
                <w:snapToGrid w:val="0"/>
                <w:color w:val="auto"/>
                <w:kern w:val="21"/>
                <w:szCs w:val="21"/>
              </w:rPr>
              <w:t>0</w:t>
            </w:r>
          </w:p>
        </w:tc>
        <w:tc>
          <w:tcPr>
            <w:tcW w:w="590" w:type="pct"/>
            <w:shd w:val="clear"/>
            <w:noWrap w:val="0"/>
            <w:vAlign w:val="center"/>
          </w:tcPr>
          <w:p w14:paraId="115C2CC7">
            <w:pPr>
              <w:jc w:val="center"/>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0.4206</w:t>
            </w:r>
          </w:p>
        </w:tc>
        <w:tc>
          <w:tcPr>
            <w:tcW w:w="367" w:type="pct"/>
            <w:shd w:val="clear"/>
            <w:noWrap w:val="0"/>
            <w:vAlign w:val="center"/>
          </w:tcPr>
          <w:p w14:paraId="3299E95D">
            <w:pPr>
              <w:jc w:val="center"/>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lang w:val="en-US" w:eastAsia="zh-CN"/>
              </w:rPr>
              <w:t>+0.4206</w:t>
            </w:r>
          </w:p>
        </w:tc>
      </w:tr>
      <w:tr w14:paraId="2EBF64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restart"/>
            <w:noWrap w:val="0"/>
            <w:vAlign w:val="center"/>
          </w:tcPr>
          <w:p w14:paraId="3039AC24">
            <w:pPr>
              <w:pStyle w:val="80"/>
              <w:spacing w:beforeLines="0" w:afterLines="0" w:line="240" w:lineRule="auto"/>
              <w:ind w:left="0" w:leftChars="0" w:firstLine="0" w:firstLineChars="0"/>
              <w:jc w:val="center"/>
              <w:rPr>
                <w:rFonts w:ascii="Times New Roman"/>
                <w:snapToGrid w:val="0"/>
                <w:color w:val="auto"/>
                <w:kern w:val="21"/>
                <w:szCs w:val="21"/>
              </w:rPr>
            </w:pPr>
            <w:r>
              <w:rPr>
                <w:rFonts w:ascii="Times New Roman"/>
                <w:snapToGrid w:val="0"/>
                <w:color w:val="auto"/>
                <w:kern w:val="21"/>
                <w:szCs w:val="21"/>
              </w:rPr>
              <w:t>危险废物</w:t>
            </w:r>
          </w:p>
        </w:tc>
        <w:tc>
          <w:tcPr>
            <w:tcW w:w="797" w:type="pct"/>
            <w:shd w:val="clear"/>
            <w:noWrap w:val="0"/>
            <w:vAlign w:val="center"/>
          </w:tcPr>
          <w:p w14:paraId="031FFC04">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饱和活性炭</w:t>
            </w:r>
          </w:p>
        </w:tc>
        <w:tc>
          <w:tcPr>
            <w:tcW w:w="492" w:type="pct"/>
            <w:noWrap w:val="0"/>
            <w:vAlign w:val="center"/>
          </w:tcPr>
          <w:p w14:paraId="39CB85F5">
            <w:pPr>
              <w:jc w:val="center"/>
              <w:rPr>
                <w:snapToGrid w:val="0"/>
                <w:color w:val="auto"/>
                <w:kern w:val="21"/>
                <w:szCs w:val="21"/>
              </w:rPr>
            </w:pPr>
            <w:r>
              <w:rPr>
                <w:snapToGrid w:val="0"/>
                <w:color w:val="auto"/>
                <w:kern w:val="21"/>
                <w:szCs w:val="21"/>
              </w:rPr>
              <w:t>0</w:t>
            </w:r>
          </w:p>
        </w:tc>
        <w:tc>
          <w:tcPr>
            <w:tcW w:w="384" w:type="pct"/>
            <w:noWrap w:val="0"/>
            <w:vAlign w:val="center"/>
          </w:tcPr>
          <w:p w14:paraId="37CA771F">
            <w:pPr>
              <w:jc w:val="center"/>
              <w:rPr>
                <w:snapToGrid w:val="0"/>
                <w:color w:val="auto"/>
                <w:kern w:val="21"/>
                <w:szCs w:val="21"/>
              </w:rPr>
            </w:pPr>
            <w:r>
              <w:rPr>
                <w:snapToGrid w:val="0"/>
                <w:color w:val="auto"/>
                <w:kern w:val="21"/>
                <w:szCs w:val="21"/>
              </w:rPr>
              <w:t>0</w:t>
            </w:r>
          </w:p>
        </w:tc>
        <w:tc>
          <w:tcPr>
            <w:tcW w:w="614" w:type="pct"/>
            <w:noWrap w:val="0"/>
            <w:vAlign w:val="center"/>
          </w:tcPr>
          <w:p w14:paraId="3F0B0FE0">
            <w:pPr>
              <w:jc w:val="center"/>
              <w:rPr>
                <w:snapToGrid w:val="0"/>
                <w:color w:val="auto"/>
                <w:kern w:val="21"/>
                <w:szCs w:val="21"/>
              </w:rPr>
            </w:pPr>
            <w:r>
              <w:rPr>
                <w:snapToGrid w:val="0"/>
                <w:color w:val="auto"/>
                <w:kern w:val="21"/>
                <w:szCs w:val="21"/>
              </w:rPr>
              <w:t>0</w:t>
            </w:r>
          </w:p>
        </w:tc>
        <w:tc>
          <w:tcPr>
            <w:tcW w:w="553" w:type="pct"/>
            <w:shd w:val="clear"/>
            <w:noWrap w:val="0"/>
            <w:vAlign w:val="center"/>
          </w:tcPr>
          <w:p w14:paraId="654ADE97">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5.2056</w:t>
            </w:r>
          </w:p>
        </w:tc>
        <w:tc>
          <w:tcPr>
            <w:tcW w:w="711" w:type="pct"/>
            <w:noWrap w:val="0"/>
            <w:vAlign w:val="center"/>
          </w:tcPr>
          <w:p w14:paraId="25FC3DF2">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693ABFCB">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5.2056</w:t>
            </w:r>
          </w:p>
        </w:tc>
        <w:tc>
          <w:tcPr>
            <w:tcW w:w="367" w:type="pct"/>
            <w:shd w:val="clear" w:color="auto" w:fill="auto"/>
            <w:noWrap w:val="0"/>
            <w:vAlign w:val="center"/>
          </w:tcPr>
          <w:p w14:paraId="1FC2CD3B">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宋体"/>
                <w:color w:val="auto"/>
                <w:szCs w:val="21"/>
                <w:highlight w:val="none"/>
                <w:lang w:val="en-US" w:eastAsia="zh-CN"/>
              </w:rPr>
              <w:t>+5.2056</w:t>
            </w:r>
          </w:p>
        </w:tc>
      </w:tr>
      <w:tr w14:paraId="6D7FE2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6DBEDE86">
            <w:pPr>
              <w:pStyle w:val="80"/>
              <w:spacing w:beforeLines="0" w:afterLines="0" w:line="240" w:lineRule="auto"/>
              <w:jc w:val="center"/>
              <w:rPr>
                <w:rFonts w:ascii="Times New Roman"/>
                <w:snapToGrid w:val="0"/>
                <w:color w:val="auto"/>
                <w:kern w:val="21"/>
                <w:szCs w:val="21"/>
              </w:rPr>
            </w:pPr>
          </w:p>
        </w:tc>
        <w:tc>
          <w:tcPr>
            <w:tcW w:w="797" w:type="pct"/>
            <w:shd w:val="clear"/>
            <w:noWrap w:val="0"/>
            <w:vAlign w:val="center"/>
          </w:tcPr>
          <w:p w14:paraId="1466E66D">
            <w:pPr>
              <w:widowControl/>
              <w:adjustRightInd w:val="0"/>
              <w:snapToGrid w:val="0"/>
              <w:jc w:val="center"/>
              <w:rPr>
                <w:rFonts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废弃包装桶（环氧树脂AB胶、机油）</w:t>
            </w:r>
          </w:p>
        </w:tc>
        <w:tc>
          <w:tcPr>
            <w:tcW w:w="492" w:type="pct"/>
            <w:noWrap w:val="0"/>
            <w:vAlign w:val="center"/>
          </w:tcPr>
          <w:p w14:paraId="125402C8">
            <w:pPr>
              <w:jc w:val="center"/>
              <w:rPr>
                <w:snapToGrid w:val="0"/>
                <w:color w:val="auto"/>
                <w:kern w:val="21"/>
                <w:szCs w:val="21"/>
              </w:rPr>
            </w:pPr>
            <w:r>
              <w:rPr>
                <w:snapToGrid w:val="0"/>
                <w:color w:val="auto"/>
                <w:kern w:val="21"/>
                <w:szCs w:val="21"/>
              </w:rPr>
              <w:t>0</w:t>
            </w:r>
          </w:p>
        </w:tc>
        <w:tc>
          <w:tcPr>
            <w:tcW w:w="384" w:type="pct"/>
            <w:noWrap w:val="0"/>
            <w:vAlign w:val="center"/>
          </w:tcPr>
          <w:p w14:paraId="4F1DC551">
            <w:pPr>
              <w:jc w:val="center"/>
              <w:rPr>
                <w:snapToGrid w:val="0"/>
                <w:color w:val="auto"/>
                <w:kern w:val="21"/>
                <w:szCs w:val="21"/>
              </w:rPr>
            </w:pPr>
            <w:r>
              <w:rPr>
                <w:snapToGrid w:val="0"/>
                <w:color w:val="auto"/>
                <w:kern w:val="21"/>
                <w:szCs w:val="21"/>
              </w:rPr>
              <w:t>0</w:t>
            </w:r>
          </w:p>
        </w:tc>
        <w:tc>
          <w:tcPr>
            <w:tcW w:w="614" w:type="pct"/>
            <w:noWrap w:val="0"/>
            <w:vAlign w:val="center"/>
          </w:tcPr>
          <w:p w14:paraId="515E0495">
            <w:pPr>
              <w:jc w:val="center"/>
              <w:rPr>
                <w:snapToGrid w:val="0"/>
                <w:color w:val="auto"/>
                <w:kern w:val="21"/>
                <w:szCs w:val="21"/>
              </w:rPr>
            </w:pPr>
            <w:r>
              <w:rPr>
                <w:snapToGrid w:val="0"/>
                <w:color w:val="auto"/>
                <w:kern w:val="21"/>
                <w:szCs w:val="21"/>
              </w:rPr>
              <w:t>0</w:t>
            </w:r>
          </w:p>
        </w:tc>
        <w:tc>
          <w:tcPr>
            <w:tcW w:w="553" w:type="pct"/>
            <w:shd w:val="clear"/>
            <w:noWrap w:val="0"/>
            <w:vAlign w:val="center"/>
          </w:tcPr>
          <w:p w14:paraId="1CB064F0">
            <w:pPr>
              <w:topLinePunct/>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olor w:val="auto"/>
                <w:kern w:val="0"/>
                <w:szCs w:val="21"/>
                <w:highlight w:val="none"/>
                <w:lang w:eastAsia="zh-CN"/>
              </w:rPr>
              <w:t>0.0</w:t>
            </w:r>
            <w:r>
              <w:rPr>
                <w:rFonts w:hint="eastAsia"/>
                <w:color w:val="auto"/>
                <w:kern w:val="0"/>
                <w:szCs w:val="21"/>
                <w:highlight w:val="none"/>
                <w:lang w:val="en-US" w:eastAsia="zh-CN"/>
              </w:rPr>
              <w:t>14</w:t>
            </w:r>
          </w:p>
        </w:tc>
        <w:tc>
          <w:tcPr>
            <w:tcW w:w="711" w:type="pct"/>
            <w:noWrap w:val="0"/>
            <w:vAlign w:val="center"/>
          </w:tcPr>
          <w:p w14:paraId="33253BB6">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210145C5">
            <w:pPr>
              <w:topLinePunct/>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olor w:val="auto"/>
                <w:kern w:val="0"/>
                <w:szCs w:val="21"/>
                <w:highlight w:val="none"/>
                <w:lang w:eastAsia="zh-CN"/>
              </w:rPr>
              <w:t>0.0</w:t>
            </w:r>
            <w:r>
              <w:rPr>
                <w:rFonts w:hint="eastAsia"/>
                <w:color w:val="auto"/>
                <w:kern w:val="0"/>
                <w:szCs w:val="21"/>
                <w:highlight w:val="none"/>
                <w:lang w:val="en-US" w:eastAsia="zh-CN"/>
              </w:rPr>
              <w:t>14</w:t>
            </w:r>
          </w:p>
        </w:tc>
        <w:tc>
          <w:tcPr>
            <w:tcW w:w="367" w:type="pct"/>
            <w:shd w:val="clear" w:color="auto" w:fill="auto"/>
            <w:noWrap w:val="0"/>
            <w:vAlign w:val="center"/>
          </w:tcPr>
          <w:p w14:paraId="020F1307">
            <w:pPr>
              <w:topLinePunct/>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olor w:val="auto"/>
                <w:kern w:val="0"/>
                <w:szCs w:val="21"/>
                <w:highlight w:val="none"/>
                <w:lang w:val="en-US" w:eastAsia="zh-CN"/>
              </w:rPr>
              <w:t>+</w:t>
            </w:r>
            <w:r>
              <w:rPr>
                <w:rFonts w:hint="eastAsia" w:eastAsia="宋体"/>
                <w:color w:val="auto"/>
                <w:kern w:val="0"/>
                <w:szCs w:val="21"/>
                <w:highlight w:val="none"/>
                <w:lang w:eastAsia="zh-CN"/>
              </w:rPr>
              <w:t>0.0</w:t>
            </w:r>
            <w:r>
              <w:rPr>
                <w:rFonts w:hint="eastAsia"/>
                <w:color w:val="auto"/>
                <w:kern w:val="0"/>
                <w:szCs w:val="21"/>
                <w:highlight w:val="none"/>
                <w:lang w:val="en-US" w:eastAsia="zh-CN"/>
              </w:rPr>
              <w:t>14</w:t>
            </w:r>
          </w:p>
        </w:tc>
      </w:tr>
      <w:tr w14:paraId="6DDA05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486" w:type="pct"/>
            <w:vMerge w:val="continue"/>
            <w:noWrap w:val="0"/>
            <w:vAlign w:val="center"/>
          </w:tcPr>
          <w:p w14:paraId="30E4CEDF">
            <w:pPr>
              <w:pStyle w:val="80"/>
              <w:spacing w:beforeLines="0" w:afterLines="0" w:line="240" w:lineRule="auto"/>
              <w:jc w:val="center"/>
              <w:rPr>
                <w:rFonts w:ascii="Times New Roman"/>
                <w:snapToGrid w:val="0"/>
                <w:color w:val="auto"/>
                <w:kern w:val="21"/>
                <w:szCs w:val="21"/>
              </w:rPr>
            </w:pPr>
          </w:p>
        </w:tc>
        <w:tc>
          <w:tcPr>
            <w:tcW w:w="797" w:type="pct"/>
            <w:shd w:val="clear"/>
            <w:noWrap w:val="0"/>
            <w:vAlign w:val="center"/>
          </w:tcPr>
          <w:p w14:paraId="1AA5B277">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废</w:t>
            </w:r>
            <w:r>
              <w:rPr>
                <w:rFonts w:hint="eastAsia"/>
                <w:color w:val="auto"/>
                <w:szCs w:val="21"/>
                <w:highlight w:val="none"/>
              </w:rPr>
              <w:t>机油</w:t>
            </w:r>
          </w:p>
        </w:tc>
        <w:tc>
          <w:tcPr>
            <w:tcW w:w="492" w:type="pct"/>
            <w:noWrap w:val="0"/>
            <w:vAlign w:val="center"/>
          </w:tcPr>
          <w:p w14:paraId="005DB6F9">
            <w:pPr>
              <w:jc w:val="center"/>
              <w:rPr>
                <w:snapToGrid w:val="0"/>
                <w:color w:val="auto"/>
                <w:kern w:val="21"/>
                <w:szCs w:val="21"/>
              </w:rPr>
            </w:pPr>
            <w:r>
              <w:rPr>
                <w:snapToGrid w:val="0"/>
                <w:color w:val="auto"/>
                <w:kern w:val="21"/>
                <w:szCs w:val="21"/>
              </w:rPr>
              <w:t>0</w:t>
            </w:r>
          </w:p>
        </w:tc>
        <w:tc>
          <w:tcPr>
            <w:tcW w:w="384" w:type="pct"/>
            <w:noWrap w:val="0"/>
            <w:vAlign w:val="center"/>
          </w:tcPr>
          <w:p w14:paraId="4A386AD8">
            <w:pPr>
              <w:jc w:val="center"/>
              <w:rPr>
                <w:snapToGrid w:val="0"/>
                <w:color w:val="auto"/>
                <w:kern w:val="21"/>
                <w:szCs w:val="21"/>
              </w:rPr>
            </w:pPr>
            <w:r>
              <w:rPr>
                <w:snapToGrid w:val="0"/>
                <w:color w:val="auto"/>
                <w:kern w:val="21"/>
                <w:szCs w:val="21"/>
              </w:rPr>
              <w:t>0</w:t>
            </w:r>
          </w:p>
        </w:tc>
        <w:tc>
          <w:tcPr>
            <w:tcW w:w="614" w:type="pct"/>
            <w:noWrap w:val="0"/>
            <w:vAlign w:val="center"/>
          </w:tcPr>
          <w:p w14:paraId="729AC2BF">
            <w:pPr>
              <w:jc w:val="center"/>
              <w:rPr>
                <w:snapToGrid w:val="0"/>
                <w:color w:val="auto"/>
                <w:kern w:val="21"/>
                <w:szCs w:val="21"/>
              </w:rPr>
            </w:pPr>
            <w:r>
              <w:rPr>
                <w:snapToGrid w:val="0"/>
                <w:color w:val="auto"/>
                <w:kern w:val="21"/>
                <w:szCs w:val="21"/>
              </w:rPr>
              <w:t>0</w:t>
            </w:r>
          </w:p>
        </w:tc>
        <w:tc>
          <w:tcPr>
            <w:tcW w:w="553" w:type="pct"/>
            <w:shd w:val="clear"/>
            <w:noWrap w:val="0"/>
            <w:vAlign w:val="center"/>
          </w:tcPr>
          <w:p w14:paraId="3B31003F">
            <w:pPr>
              <w:topLinePunct/>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olor w:val="auto"/>
                <w:kern w:val="0"/>
                <w:szCs w:val="21"/>
                <w:highlight w:val="none"/>
                <w:lang w:eastAsia="zh-CN"/>
              </w:rPr>
              <w:t>0.</w:t>
            </w:r>
            <w:r>
              <w:rPr>
                <w:rFonts w:hint="eastAsia"/>
                <w:color w:val="auto"/>
                <w:kern w:val="0"/>
                <w:szCs w:val="21"/>
                <w:highlight w:val="none"/>
                <w:lang w:val="en-US" w:eastAsia="zh-CN"/>
              </w:rPr>
              <w:t>1</w:t>
            </w:r>
          </w:p>
        </w:tc>
        <w:tc>
          <w:tcPr>
            <w:tcW w:w="711" w:type="pct"/>
            <w:noWrap w:val="0"/>
            <w:vAlign w:val="center"/>
          </w:tcPr>
          <w:p w14:paraId="501BC7EA">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20A69957">
            <w:pPr>
              <w:topLinePunct/>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olor w:val="auto"/>
                <w:kern w:val="0"/>
                <w:szCs w:val="21"/>
                <w:highlight w:val="none"/>
                <w:lang w:eastAsia="zh-CN"/>
              </w:rPr>
              <w:t>0.</w:t>
            </w:r>
            <w:r>
              <w:rPr>
                <w:rFonts w:hint="eastAsia"/>
                <w:color w:val="auto"/>
                <w:kern w:val="0"/>
                <w:szCs w:val="21"/>
                <w:highlight w:val="none"/>
                <w:lang w:val="en-US" w:eastAsia="zh-CN"/>
              </w:rPr>
              <w:t>1</w:t>
            </w:r>
          </w:p>
        </w:tc>
        <w:tc>
          <w:tcPr>
            <w:tcW w:w="367" w:type="pct"/>
            <w:shd w:val="clear" w:color="auto" w:fill="auto"/>
            <w:noWrap w:val="0"/>
            <w:vAlign w:val="center"/>
          </w:tcPr>
          <w:p w14:paraId="78C4B05A">
            <w:pPr>
              <w:topLinePunct/>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olor w:val="auto"/>
                <w:kern w:val="0"/>
                <w:szCs w:val="21"/>
                <w:highlight w:val="none"/>
                <w:lang w:val="en-US" w:eastAsia="zh-CN"/>
              </w:rPr>
              <w:t>+</w:t>
            </w:r>
            <w:r>
              <w:rPr>
                <w:rFonts w:hint="eastAsia" w:eastAsia="宋体"/>
                <w:color w:val="auto"/>
                <w:kern w:val="0"/>
                <w:szCs w:val="21"/>
                <w:highlight w:val="none"/>
                <w:lang w:eastAsia="zh-CN"/>
              </w:rPr>
              <w:t>0.</w:t>
            </w:r>
            <w:r>
              <w:rPr>
                <w:rFonts w:hint="eastAsia"/>
                <w:color w:val="auto"/>
                <w:kern w:val="0"/>
                <w:szCs w:val="21"/>
                <w:highlight w:val="none"/>
                <w:lang w:val="en-US" w:eastAsia="zh-CN"/>
              </w:rPr>
              <w:t>1</w:t>
            </w:r>
          </w:p>
        </w:tc>
      </w:tr>
      <w:tr w14:paraId="74D03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3176347D">
            <w:pPr>
              <w:pStyle w:val="80"/>
              <w:spacing w:beforeLines="0" w:afterLines="0" w:line="240" w:lineRule="auto"/>
              <w:jc w:val="center"/>
              <w:rPr>
                <w:rFonts w:ascii="Times New Roman"/>
                <w:snapToGrid w:val="0"/>
                <w:color w:val="auto"/>
                <w:kern w:val="21"/>
                <w:szCs w:val="21"/>
              </w:rPr>
            </w:pPr>
          </w:p>
        </w:tc>
        <w:tc>
          <w:tcPr>
            <w:tcW w:w="797" w:type="pct"/>
            <w:shd w:val="clear"/>
            <w:noWrap w:val="0"/>
            <w:vAlign w:val="center"/>
          </w:tcPr>
          <w:p w14:paraId="40ECA056">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kern w:val="2"/>
                <w:sz w:val="21"/>
                <w:szCs w:val="21"/>
                <w:highlight w:val="none"/>
                <w:lang w:val="en-US" w:eastAsia="zh-CN" w:bidi="ar-SA"/>
              </w:rPr>
              <w:t>含油废抹布及手套</w:t>
            </w:r>
          </w:p>
        </w:tc>
        <w:tc>
          <w:tcPr>
            <w:tcW w:w="492" w:type="pct"/>
            <w:noWrap w:val="0"/>
            <w:vAlign w:val="center"/>
          </w:tcPr>
          <w:p w14:paraId="57596DFA">
            <w:pPr>
              <w:jc w:val="center"/>
              <w:rPr>
                <w:snapToGrid w:val="0"/>
                <w:color w:val="auto"/>
                <w:kern w:val="21"/>
                <w:szCs w:val="21"/>
              </w:rPr>
            </w:pPr>
            <w:r>
              <w:rPr>
                <w:snapToGrid w:val="0"/>
                <w:color w:val="auto"/>
                <w:kern w:val="21"/>
                <w:szCs w:val="21"/>
              </w:rPr>
              <w:t>0</w:t>
            </w:r>
          </w:p>
        </w:tc>
        <w:tc>
          <w:tcPr>
            <w:tcW w:w="384" w:type="pct"/>
            <w:noWrap w:val="0"/>
            <w:vAlign w:val="center"/>
          </w:tcPr>
          <w:p w14:paraId="32F69B71">
            <w:pPr>
              <w:jc w:val="center"/>
              <w:rPr>
                <w:snapToGrid w:val="0"/>
                <w:color w:val="auto"/>
                <w:kern w:val="21"/>
                <w:szCs w:val="21"/>
              </w:rPr>
            </w:pPr>
            <w:r>
              <w:rPr>
                <w:snapToGrid w:val="0"/>
                <w:color w:val="auto"/>
                <w:kern w:val="21"/>
                <w:szCs w:val="21"/>
              </w:rPr>
              <w:t>0</w:t>
            </w:r>
          </w:p>
        </w:tc>
        <w:tc>
          <w:tcPr>
            <w:tcW w:w="614" w:type="pct"/>
            <w:noWrap w:val="0"/>
            <w:vAlign w:val="center"/>
          </w:tcPr>
          <w:p w14:paraId="08A17F26">
            <w:pPr>
              <w:jc w:val="center"/>
              <w:rPr>
                <w:snapToGrid w:val="0"/>
                <w:color w:val="auto"/>
                <w:kern w:val="21"/>
                <w:szCs w:val="21"/>
              </w:rPr>
            </w:pPr>
            <w:r>
              <w:rPr>
                <w:snapToGrid w:val="0"/>
                <w:color w:val="auto"/>
                <w:kern w:val="21"/>
                <w:szCs w:val="21"/>
              </w:rPr>
              <w:t>0</w:t>
            </w:r>
          </w:p>
        </w:tc>
        <w:tc>
          <w:tcPr>
            <w:tcW w:w="553" w:type="pct"/>
            <w:shd w:val="clear"/>
            <w:noWrap w:val="0"/>
            <w:vAlign w:val="center"/>
          </w:tcPr>
          <w:p w14:paraId="56BBEEE1">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0.01</w:t>
            </w:r>
          </w:p>
        </w:tc>
        <w:tc>
          <w:tcPr>
            <w:tcW w:w="711" w:type="pct"/>
            <w:noWrap w:val="0"/>
            <w:vAlign w:val="center"/>
          </w:tcPr>
          <w:p w14:paraId="5EA83BBA">
            <w:pPr>
              <w:jc w:val="center"/>
              <w:rPr>
                <w:snapToGrid w:val="0"/>
                <w:color w:val="auto"/>
                <w:kern w:val="21"/>
                <w:szCs w:val="21"/>
              </w:rPr>
            </w:pPr>
            <w:r>
              <w:rPr>
                <w:snapToGrid w:val="0"/>
                <w:color w:val="auto"/>
                <w:kern w:val="21"/>
                <w:szCs w:val="21"/>
              </w:rPr>
              <w:t>0</w:t>
            </w:r>
          </w:p>
        </w:tc>
        <w:tc>
          <w:tcPr>
            <w:tcW w:w="590" w:type="pct"/>
            <w:shd w:val="clear" w:color="auto" w:fill="auto"/>
            <w:noWrap w:val="0"/>
            <w:vAlign w:val="center"/>
          </w:tcPr>
          <w:p w14:paraId="72BDF313">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0.01</w:t>
            </w:r>
          </w:p>
        </w:tc>
        <w:tc>
          <w:tcPr>
            <w:tcW w:w="367" w:type="pct"/>
            <w:shd w:val="clear" w:color="auto" w:fill="auto"/>
            <w:noWrap w:val="0"/>
            <w:vAlign w:val="center"/>
          </w:tcPr>
          <w:p w14:paraId="0E82F60A">
            <w:pPr>
              <w:topLinePunct/>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+0.01</w:t>
            </w:r>
          </w:p>
        </w:tc>
      </w:tr>
      <w:tr w14:paraId="04CB9F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6" w:type="pct"/>
            <w:vMerge w:val="continue"/>
            <w:noWrap w:val="0"/>
            <w:vAlign w:val="center"/>
          </w:tcPr>
          <w:p w14:paraId="015051A4">
            <w:pPr>
              <w:pStyle w:val="80"/>
              <w:spacing w:beforeLines="0" w:afterLines="0" w:line="240" w:lineRule="auto"/>
              <w:jc w:val="center"/>
              <w:rPr>
                <w:rFonts w:ascii="Times New Roman"/>
                <w:snapToGrid w:val="0"/>
                <w:color w:val="auto"/>
                <w:kern w:val="21"/>
                <w:szCs w:val="21"/>
              </w:rPr>
            </w:pPr>
          </w:p>
        </w:tc>
        <w:tc>
          <w:tcPr>
            <w:tcW w:w="797" w:type="pct"/>
            <w:shd w:val="clear" w:color="auto" w:fill="auto"/>
            <w:noWrap w:val="0"/>
            <w:vAlign w:val="center"/>
          </w:tcPr>
          <w:p w14:paraId="67FBD821">
            <w:pPr>
              <w:widowControl/>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色粉包装袋</w:t>
            </w:r>
          </w:p>
        </w:tc>
        <w:tc>
          <w:tcPr>
            <w:tcW w:w="492" w:type="pct"/>
            <w:noWrap w:val="0"/>
            <w:vAlign w:val="center"/>
          </w:tcPr>
          <w:p w14:paraId="5D010C87">
            <w:pPr>
              <w:jc w:val="center"/>
              <w:rPr>
                <w:snapToGrid w:val="0"/>
                <w:color w:val="auto"/>
                <w:kern w:val="21"/>
                <w:szCs w:val="21"/>
              </w:rPr>
            </w:pPr>
            <w:r>
              <w:rPr>
                <w:snapToGrid w:val="0"/>
                <w:color w:val="auto"/>
                <w:kern w:val="21"/>
                <w:szCs w:val="21"/>
              </w:rPr>
              <w:t>0</w:t>
            </w:r>
          </w:p>
        </w:tc>
        <w:tc>
          <w:tcPr>
            <w:tcW w:w="384" w:type="pct"/>
            <w:noWrap w:val="0"/>
            <w:vAlign w:val="center"/>
          </w:tcPr>
          <w:p w14:paraId="5950FA2A">
            <w:pPr>
              <w:jc w:val="center"/>
              <w:rPr>
                <w:snapToGrid w:val="0"/>
                <w:color w:val="auto"/>
                <w:kern w:val="21"/>
                <w:szCs w:val="21"/>
              </w:rPr>
            </w:pPr>
            <w:r>
              <w:rPr>
                <w:snapToGrid w:val="0"/>
                <w:color w:val="auto"/>
                <w:kern w:val="21"/>
                <w:szCs w:val="21"/>
              </w:rPr>
              <w:t>0</w:t>
            </w:r>
          </w:p>
        </w:tc>
        <w:tc>
          <w:tcPr>
            <w:tcW w:w="614" w:type="pct"/>
            <w:noWrap w:val="0"/>
            <w:vAlign w:val="center"/>
          </w:tcPr>
          <w:p w14:paraId="1482D7BB">
            <w:pPr>
              <w:jc w:val="center"/>
              <w:rPr>
                <w:snapToGrid w:val="0"/>
                <w:color w:val="auto"/>
                <w:kern w:val="21"/>
                <w:szCs w:val="21"/>
              </w:rPr>
            </w:pPr>
            <w:r>
              <w:rPr>
                <w:snapToGrid w:val="0"/>
                <w:color w:val="auto"/>
                <w:kern w:val="21"/>
                <w:szCs w:val="21"/>
              </w:rPr>
              <w:t>0</w:t>
            </w:r>
          </w:p>
        </w:tc>
        <w:tc>
          <w:tcPr>
            <w:tcW w:w="553" w:type="pct"/>
            <w:shd w:val="clear" w:color="auto" w:fill="auto"/>
            <w:noWrap w:val="0"/>
            <w:vAlign w:val="center"/>
          </w:tcPr>
          <w:p w14:paraId="79CF3737">
            <w:pPr>
              <w:topLinePunct/>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eastAsia="宋体"/>
                <w:color w:val="auto"/>
                <w:kern w:val="0"/>
                <w:szCs w:val="21"/>
                <w:highlight w:val="none"/>
                <w:lang w:val="en-US" w:eastAsia="zh-CN"/>
              </w:rPr>
              <w:t>0.002</w:t>
            </w:r>
          </w:p>
        </w:tc>
        <w:tc>
          <w:tcPr>
            <w:tcW w:w="711" w:type="pct"/>
            <w:noWrap w:val="0"/>
            <w:vAlign w:val="center"/>
          </w:tcPr>
          <w:p w14:paraId="0AE584E8">
            <w:pPr>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0</w:t>
            </w:r>
          </w:p>
        </w:tc>
        <w:tc>
          <w:tcPr>
            <w:tcW w:w="590" w:type="pct"/>
            <w:shd w:val="clear" w:color="auto" w:fill="auto"/>
            <w:noWrap w:val="0"/>
            <w:vAlign w:val="center"/>
          </w:tcPr>
          <w:p w14:paraId="6516CC39">
            <w:pPr>
              <w:topLinePunct/>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eastAsia="宋体"/>
                <w:color w:val="auto"/>
                <w:kern w:val="0"/>
                <w:szCs w:val="21"/>
                <w:highlight w:val="none"/>
                <w:lang w:val="en-US" w:eastAsia="zh-CN"/>
              </w:rPr>
              <w:t>0.002</w:t>
            </w:r>
          </w:p>
        </w:tc>
        <w:tc>
          <w:tcPr>
            <w:tcW w:w="367" w:type="pct"/>
            <w:shd w:val="clear" w:color="auto" w:fill="auto"/>
            <w:noWrap w:val="0"/>
            <w:vAlign w:val="center"/>
          </w:tcPr>
          <w:p w14:paraId="4CB57741">
            <w:pPr>
              <w:topLinePunct/>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eastAsia="宋体"/>
                <w:color w:val="auto"/>
                <w:kern w:val="0"/>
                <w:szCs w:val="21"/>
                <w:highlight w:val="none"/>
                <w:lang w:val="en-US" w:eastAsia="zh-CN"/>
              </w:rPr>
              <w:t>+0.002</w:t>
            </w:r>
          </w:p>
        </w:tc>
      </w:tr>
    </w:tbl>
    <w:p w14:paraId="3A1122A8">
      <w:pPr>
        <w:jc w:val="left"/>
        <w:rPr>
          <w:color w:val="auto"/>
          <w:highlight w:val="none"/>
        </w:rPr>
        <w:sectPr>
          <w:footerReference r:id="rId7" w:type="default"/>
          <w:pgSz w:w="16838" w:h="11906" w:orient="landscape"/>
          <w:pgMar w:top="1701" w:right="1531" w:bottom="1701" w:left="1531" w:header="851" w:footer="851" w:gutter="0"/>
          <w:cols w:space="720" w:num="1"/>
          <w:docGrid w:linePitch="312" w:charSpace="0"/>
        </w:sect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p>
    <w:p w14:paraId="40AC6534">
      <w:pPr>
        <w:jc w:val="center"/>
        <w:rPr>
          <w:color w:val="auto"/>
          <w:highlight w:val="none"/>
        </w:rPr>
        <w:sectPr>
          <w:pgSz w:w="11906" w:h="16838"/>
          <w:pgMar w:top="1531" w:right="1701" w:bottom="1531" w:left="1701" w:header="851" w:footer="851" w:gutter="0"/>
          <w:cols w:space="720" w:num="1"/>
          <w:docGrid w:linePitch="312" w:charSpace="0"/>
        </w:sectPr>
      </w:pPr>
      <w:r>
        <w:rPr>
          <w:rFonts w:hint="default" w:ascii="Times New Roman" w:hAnsi="Times New Roman" w:eastAsia="宋体" w:cs="Times New Roman"/>
          <w:color w:val="000000"/>
          <w:sz w:val="28"/>
          <w:szCs w:val="28"/>
          <w:highlight w:val="none"/>
        </w:rPr>
        <mc:AlternateContent>
          <mc:Choice Requires="wps">
            <w:drawing>
              <wp:anchor distT="0" distB="0" distL="114300" distR="114300" simplePos="0" relativeHeight="251673600" behindDoc="0" locked="0" layoutInCell="1" allowOverlap="1">
                <wp:simplePos x="0" y="0"/>
                <wp:positionH relativeFrom="column">
                  <wp:posOffset>2868930</wp:posOffset>
                </wp:positionH>
                <wp:positionV relativeFrom="paragraph">
                  <wp:posOffset>2670175</wp:posOffset>
                </wp:positionV>
                <wp:extent cx="95250" cy="78740"/>
                <wp:effectExtent l="27305" t="22860" r="29845" b="31750"/>
                <wp:wrapNone/>
                <wp:docPr id="9" name="五角星 9"/>
                <wp:cNvGraphicFramePr/>
                <a:graphic xmlns:a="http://schemas.openxmlformats.org/drawingml/2006/main">
                  <a:graphicData uri="http://schemas.microsoft.com/office/word/2010/wordprocessingShape">
                    <wps:wsp>
                      <wps:cNvSpPr/>
                      <wps:spPr>
                        <a:xfrm>
                          <a:off x="0" y="0"/>
                          <a:ext cx="95250" cy="78740"/>
                        </a:xfrm>
                        <a:prstGeom prst="star5">
                          <a:avLst/>
                        </a:prstGeom>
                        <a:solidFill>
                          <a:srgbClr val="FF0000"/>
                        </a:solidFill>
                        <a:ln w="15875" cap="flat" cmpd="sng">
                          <a:solidFill>
                            <a:srgbClr val="FF0000"/>
                          </a:solidFill>
                          <a:prstDash val="solid"/>
                          <a:miter/>
                          <a:headEnd type="none" w="med" len="med"/>
                          <a:tailEnd type="none" w="med" len="med"/>
                        </a:ln>
                      </wps:spPr>
                      <wps:txbx>
                        <w:txbxContent>
                          <w:p w14:paraId="6419F261"/>
                        </w:txbxContent>
                      </wps:txbx>
                      <wps:bodyPr upright="1"/>
                    </wps:wsp>
                  </a:graphicData>
                </a:graphic>
              </wp:anchor>
            </w:drawing>
          </mc:Choice>
          <mc:Fallback>
            <w:pict>
              <v:shape id="_x0000_s1026" o:spid="_x0000_s1026" style="position:absolute;left:0pt;margin-left:225.9pt;margin-top:210.25pt;height:6.2pt;width:7.5pt;z-index:251673600;mso-width-relative:page;mso-height-relative:page;" fillcolor="#FF0000" filled="t" stroked="t" coordsize="95250,78740" o:gfxdata="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aK8p72QAAAAsBAAAPAAAAAAAAAAEAIAAAACIAAABk&#10;cnMvZG93bnJldi54bWxQSwECFAAUAAAACACHTuJAkG82wAUCAAArBAAADgAAAAAAAAABACAAAAAo&#10;AQAAZHJzL2Uyb0RvYy54bWxQSwUGAAAAAAYABgBZAQAAnwUAAAAA&#10;" path="m0,30075l36382,30076,47625,0,58867,30076,95249,30075,65815,48663,77058,78739,47625,60151,18191,78739,29434,48663xe">
                <v:path textboxrect="0,0,95250,78740" o:connectlocs="47625,0;0,30075;18191,78739;77058,78739;95249,30075" o:connectangles="247,164,82,82,0"/>
                <v:fill on="t" focussize="0,0"/>
                <v:stroke weight="1.25pt" color="#FF0000" joinstyle="miter"/>
                <v:imagedata o:title=""/>
                <o:lock v:ext="edit" aspectratio="f"/>
                <v:textbox>
                  <w:txbxContent>
                    <w:p w14:paraId="6419F261"/>
                  </w:txbxContent>
                </v:textbox>
              </v:shape>
            </w:pict>
          </mc:Fallback>
        </mc:AlternateContent>
      </w:r>
      <w:r>
        <w:rPr>
          <w:rFonts w:hint="default" w:ascii="Times New Roman" w:hAnsi="Times New Roman" w:eastAsia="宋体" w:cs="Times New Roman"/>
          <w:color w:val="000000"/>
          <w:sz w:val="28"/>
          <w:szCs w:val="28"/>
          <w:highlight w:val="none"/>
        </w:rPr>
        <mc:AlternateContent>
          <mc:Choice Requires="wps">
            <w:drawing>
              <wp:anchor distT="0" distB="0" distL="114300" distR="114300" simplePos="0" relativeHeight="251674624" behindDoc="0" locked="0" layoutInCell="1" allowOverlap="1">
                <wp:simplePos x="0" y="0"/>
                <wp:positionH relativeFrom="column">
                  <wp:posOffset>2984500</wp:posOffset>
                </wp:positionH>
                <wp:positionV relativeFrom="paragraph">
                  <wp:posOffset>2269490</wp:posOffset>
                </wp:positionV>
                <wp:extent cx="885825" cy="258445"/>
                <wp:effectExtent l="92710" t="7620" r="12065" b="210185"/>
                <wp:wrapNone/>
                <wp:docPr id="11" name="矩形标注 11"/>
                <wp:cNvGraphicFramePr/>
                <a:graphic xmlns:a="http://schemas.openxmlformats.org/drawingml/2006/main">
                  <a:graphicData uri="http://schemas.microsoft.com/office/word/2010/wordprocessingShape">
                    <wps:wsp>
                      <wps:cNvSpPr/>
                      <wps:spPr>
                        <a:xfrm>
                          <a:off x="0" y="0"/>
                          <a:ext cx="885825" cy="258445"/>
                        </a:xfrm>
                        <a:prstGeom prst="wedgeRectCallout">
                          <a:avLst>
                            <a:gd name="adj1" fmla="val -55875"/>
                            <a:gd name="adj2" fmla="val 120023"/>
                          </a:avLst>
                        </a:prstGeom>
                        <a:solidFill>
                          <a:srgbClr val="FFFFFF"/>
                        </a:solidFill>
                        <a:ln w="15875" cap="flat" cmpd="sng">
                          <a:solidFill>
                            <a:srgbClr val="000000"/>
                          </a:solidFill>
                          <a:prstDash val="solid"/>
                          <a:miter/>
                          <a:headEnd type="none" w="med" len="med"/>
                          <a:tailEnd type="none" w="med" len="med"/>
                        </a:ln>
                      </wps:spPr>
                      <wps:txbx>
                        <w:txbxContent>
                          <w:p w14:paraId="7EBF9D6F">
                            <w:pPr>
                              <w:rPr>
                                <w:rFonts w:hint="eastAsia"/>
                              </w:rPr>
                            </w:pPr>
                            <w:r>
                              <w:rPr>
                                <w:rFonts w:hint="eastAsia"/>
                              </w:rPr>
                              <w:t>项目所在地</w:t>
                            </w:r>
                          </w:p>
                        </w:txbxContent>
                      </wps:txbx>
                      <wps:bodyPr upright="1"/>
                    </wps:wsp>
                  </a:graphicData>
                </a:graphic>
              </wp:anchor>
            </w:drawing>
          </mc:Choice>
          <mc:Fallback>
            <w:pict>
              <v:shape id="_x0000_s1026" o:spid="_x0000_s1026" o:spt="61" type="#_x0000_t61" style="position:absolute;left:0pt;margin-left:235pt;margin-top:178.7pt;height:20.35pt;width:69.75pt;z-index:251674624;mso-width-relative:page;mso-height-relative:page;" fillcolor="#FFFFFF" filled="t" stroked="t" coordsize="21600,21600" o:gfxdata="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rVrfa2wAAAAsBAAAPAAAAAAAAAAEAIAAAACIAAABkcnMv&#10;ZG93bnJldi54bWxQSwECFAAUAAAACACHTuJARTH2JzkCAACQBAAADgAAAAAAAAABACAAAAAqAQAA&#10;ZHJzL2Uyb0RvYy54bWxQSwUGAAAAAAYABgBZAQAA1QUAAAAA&#10;" adj="-1269,36725">
                <v:fill on="t" focussize="0,0"/>
                <v:stroke weight="1.25pt" color="#000000" joinstyle="miter"/>
                <v:imagedata o:title=""/>
                <o:lock v:ext="edit" aspectratio="f"/>
                <v:textbox>
                  <w:txbxContent>
                    <w:p w14:paraId="7EBF9D6F">
                      <w:pPr>
                        <w:rPr>
                          <w:rFonts w:hint="eastAsia"/>
                        </w:rPr>
                      </w:pPr>
                      <w:r>
                        <w:rPr>
                          <w:rFonts w:hint="eastAsia"/>
                        </w:rPr>
                        <w:t>项目所在地</w:t>
                      </w:r>
                    </w:p>
                  </w:txbxContent>
                </v:textbox>
              </v:shape>
            </w:pict>
          </mc:Fallback>
        </mc:AlternateContent>
      </w:r>
      <w:r>
        <w:rPr>
          <w:rFonts w:hint="default" w:ascii="Times New Roman" w:hAnsi="Times New Roman" w:cs="Times New Roman"/>
          <w:color w:val="000000"/>
          <w:highlight w:val="none"/>
        </w:rPr>
        <w:drawing>
          <wp:anchor distT="0" distB="0" distL="114300" distR="114300" simplePos="0" relativeHeight="251672576" behindDoc="0" locked="0" layoutInCell="1" allowOverlap="1">
            <wp:simplePos x="0" y="0"/>
            <wp:positionH relativeFrom="column">
              <wp:posOffset>2376805</wp:posOffset>
            </wp:positionH>
            <wp:positionV relativeFrom="paragraph">
              <wp:posOffset>1847850</wp:posOffset>
            </wp:positionV>
            <wp:extent cx="2111375" cy="2126615"/>
            <wp:effectExtent l="9525" t="9525" r="12700" b="16510"/>
            <wp:wrapNone/>
            <wp:docPr id="10" name="图片 22" descr="172922062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2" descr="1729220622864"/>
                    <pic:cNvPicPr>
                      <a:picLocks noChangeAspect="1"/>
                    </pic:cNvPicPr>
                  </pic:nvPicPr>
                  <pic:blipFill>
                    <a:blip r:embed="rId14"/>
                    <a:stretch>
                      <a:fillRect/>
                    </a:stretch>
                  </pic:blipFill>
                  <pic:spPr>
                    <a:xfrm>
                      <a:off x="0" y="0"/>
                      <a:ext cx="2111375" cy="212661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1046480</wp:posOffset>
                </wp:positionH>
                <wp:positionV relativeFrom="paragraph">
                  <wp:posOffset>706755</wp:posOffset>
                </wp:positionV>
                <wp:extent cx="1224280" cy="1790065"/>
                <wp:effectExtent l="7620" t="5080" r="2540" b="3175"/>
                <wp:wrapNone/>
                <wp:docPr id="1088" name="直线 58"/>
                <wp:cNvGraphicFramePr/>
                <a:graphic xmlns:a="http://schemas.openxmlformats.org/drawingml/2006/main">
                  <a:graphicData uri="http://schemas.microsoft.com/office/word/2010/wordprocessingShape">
                    <wps:wsp>
                      <wps:cNvCnPr/>
                      <wps:spPr>
                        <a:xfrm>
                          <a:off x="0" y="0"/>
                          <a:ext cx="1224280" cy="1790065"/>
                        </a:xfrm>
                        <a:prstGeom prst="line">
                          <a:avLst/>
                        </a:prstGeom>
                        <a:ln w="19050" cap="flat" cmpd="sng">
                          <a:solidFill>
                            <a:srgbClr val="000000"/>
                          </a:solidFill>
                          <a:prstDash val="solid"/>
                          <a:round/>
                          <a:headEnd type="none" w="med" len="med"/>
                          <a:tailEnd type="arrow" w="med" len="med"/>
                        </a:ln>
                      </wps:spPr>
                      <wps:bodyPr/>
                    </wps:wsp>
                  </a:graphicData>
                </a:graphic>
              </wp:anchor>
            </w:drawing>
          </mc:Choice>
          <mc:Fallback>
            <w:pict>
              <v:line id="直线 58" o:spid="_x0000_s1026" o:spt="20" style="position:absolute;left:0pt;margin-left:82.4pt;margin-top:55.65pt;height:140.95pt;width:96.4pt;z-index:251660288;mso-width-relative:page;mso-height-relative:page;" filled="f" stroked="t" coordsize="21600,21600" o:gfxdata="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iAojWNgAAAALAQAADwAAAAAAAAABACAAAAAiAAAAZHJzL2Rvd25yZXYueG1sUEsBAhQAFAAA&#10;AAgAh07iQJ7KkxDvAQAA5QMAAA4AAAAAAAAAAQAgAAAAJwEAAGRycy9lMm9Eb2MueG1sUEsFBgAA&#10;AAAGAAYAWQEAAIgFAAAAAA==&#10;">
                <v:fill on="f" focussize="0,0"/>
                <v:stroke weight="1.5pt" color="#000000" joinstyle="round" endarrow="open"/>
                <v:imagedata o:title=""/>
                <o:lock v:ext="edit" aspectratio="f"/>
              </v:line>
            </w:pict>
          </mc:Fallback>
        </mc:AlternateContent>
      </w:r>
      <w:r>
        <w:rPr>
          <w:rFonts w:ascii="Times New Roman" w:hAnsi="Times New Roman" w:eastAsia="宋体" w:cs="Times New Roman"/>
          <w:color w:val="auto"/>
          <w:sz w:val="28"/>
          <w:szCs w:val="28"/>
          <w:highlight w:val="none"/>
        </w:rPr>
        <w:pict>
          <v:shape id="1090" o:spid="_x0000_s1026" o:spt="12" type="#_x0000_t12" style="position:absolute;left:0pt;margin-left:71.1pt;margin-top:45.6pt;height:6.2pt;width:7.5pt;z-index:251660288;mso-width-relative:page;mso-height-relative:page;" fillcolor="#FF0000" filled="t" stroked="t" coordsize="21600,21600" adj="4125">
            <v:path/>
            <v:fill on="t" focussize="0,0"/>
            <v:stroke weight="1.25pt" color="#FF0000"/>
            <v:imagedata o:title=""/>
            <o:lock v:ext="edit"/>
            <v:textbox>
              <w:txbxContent>
                <w:p w14:paraId="56F7C2B6"/>
              </w:txbxContent>
            </v:textbox>
          </v:shape>
        </w:pict>
      </w:r>
      <w:r>
        <w:rPr>
          <w:rFonts w:ascii="Times New Roman" w:hAnsi="Times New Roman" w:eastAsia="宋体" w:cs="Times New Roman"/>
          <w:color w:val="auto"/>
          <w:sz w:val="28"/>
          <w:szCs w:val="28"/>
          <w:highlight w:val="none"/>
        </w:rPr>
        <w:pict>
          <v:shape id="1087" o:spid="_x0000_s1027" o:spt="61" type="#_x0000_t61" style="position:absolute;left:0pt;margin-left:36.7pt;margin-top:-1.85pt;height:20.35pt;width:69.75pt;z-index:251660288;mso-width-relative:page;mso-height-relative:page;" coordsize="21600,21600" adj="13022,40971">
            <v:path/>
            <v:fill focussize="0,0"/>
            <v:stroke weight="1.25pt" joinstyle="miter"/>
            <v:imagedata o:title=""/>
            <o:lock v:ext="edit"/>
            <v:textbox>
              <w:txbxContent>
                <w:p w14:paraId="59F6FB13">
                  <w:pPr>
                    <w:rPr>
                      <w:rFonts w:hint="eastAsia"/>
                    </w:rPr>
                  </w:pPr>
                  <w:r>
                    <w:rPr>
                      <w:rFonts w:hint="eastAsia"/>
                    </w:rPr>
                    <w:t>项目所在地</w:t>
                  </w:r>
                </w:p>
              </w:txbxContent>
            </v:textbox>
          </v:shape>
        </w:pic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4445635</wp:posOffset>
                </wp:positionH>
                <wp:positionV relativeFrom="paragraph">
                  <wp:posOffset>7873365</wp:posOffset>
                </wp:positionV>
                <wp:extent cx="1266190" cy="304800"/>
                <wp:effectExtent l="4445" t="4445" r="5715" b="14605"/>
                <wp:wrapNone/>
                <wp:docPr id="1089" name="文本框 3"/>
                <wp:cNvGraphicFramePr/>
                <a:graphic xmlns:a="http://schemas.openxmlformats.org/drawingml/2006/main">
                  <a:graphicData uri="http://schemas.microsoft.com/office/word/2010/wordprocessingShape">
                    <wps:wsp>
                      <wps:cNvSpPr/>
                      <wps:spPr>
                        <a:xfrm>
                          <a:off x="0" y="0"/>
                          <a:ext cx="1266190"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550CE1">
                            <w:pPr>
                              <w:rPr>
                                <w:rFonts w:hint="default" w:eastAsia="宋体"/>
                                <w:lang w:val="en-US" w:eastAsia="zh-CN"/>
                              </w:rPr>
                            </w:pPr>
                            <w:r>
                              <w:rPr>
                                <w:rFonts w:hint="eastAsia"/>
                                <w:lang w:eastAsia="zh-CN"/>
                              </w:rPr>
                              <w:t>图例</w:t>
                            </w:r>
                            <w:r>
                              <w:rPr>
                                <w:rFonts w:hint="eastAsia"/>
                                <w:lang w:val="en-US" w:eastAsia="zh-CN"/>
                              </w:rPr>
                              <w:t>1：140000m</w:t>
                            </w:r>
                          </w:p>
                        </w:txbxContent>
                      </wps:txbx>
                      <wps:bodyPr upright="1"/>
                    </wps:wsp>
                  </a:graphicData>
                </a:graphic>
              </wp:anchor>
            </w:drawing>
          </mc:Choice>
          <mc:Fallback>
            <w:pict>
              <v:rect id="文本框 3" o:spid="_x0000_s1026" o:spt="1" style="position:absolute;left:0pt;margin-left:350.05pt;margin-top:619.95pt;height:24pt;width:99.7pt;z-index:251660288;mso-width-relative:page;mso-height-relative:page;" fillcolor="#FFFFFF" filled="t" stroked="t" coordsize="21600,21600" o:gfxdata="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pjja82QAAAA0BAAAPAAAAAAAAAAEAIAAA&#10;ACIAAABkcnMvZG93bnJldi54bWxQSwECFAAUAAAACACHTuJAxjIYcgsCAAAvBAAADgAAAAAAAAAB&#10;ACAAAAAoAQAAZHJzL2Uyb0RvYy54bWxQSwUGAAAAAAYABgBZAQAApQUAAAAA&#10;">
                <v:fill on="t" focussize="0,0"/>
                <v:stroke color="#000000" joinstyle="miter"/>
                <v:imagedata o:title=""/>
                <o:lock v:ext="edit" aspectratio="f"/>
                <v:textbox>
                  <w:txbxContent>
                    <w:p w14:paraId="74550CE1">
                      <w:pPr>
                        <w:rPr>
                          <w:rFonts w:hint="default" w:eastAsia="宋体"/>
                          <w:lang w:val="en-US" w:eastAsia="zh-CN"/>
                        </w:rPr>
                      </w:pPr>
                      <w:r>
                        <w:rPr>
                          <w:rFonts w:hint="eastAsia"/>
                          <w:lang w:eastAsia="zh-CN"/>
                        </w:rPr>
                        <w:t>图例</w:t>
                      </w:r>
                      <w:r>
                        <w:rPr>
                          <w:rFonts w:hint="eastAsia"/>
                          <w:lang w:val="en-US" w:eastAsia="zh-CN"/>
                        </w:rPr>
                        <w:t>1：140000m</w:t>
                      </w:r>
                    </w:p>
                  </w:txbxContent>
                </v:textbox>
              </v:rect>
            </w:pict>
          </mc:Fallback>
        </mc:AlternateContent>
      </w:r>
      <w:r>
        <w:rPr>
          <w:rFonts w:ascii="Times New Roman" w:hAnsi="Times New Roman" w:eastAsia="宋体" w:cs="Times New Roman"/>
          <w:color w:val="auto"/>
          <w:sz w:val="28"/>
          <w:szCs w:val="28"/>
          <w:highlight w:val="none"/>
        </w:rPr>
        <w:drawing>
          <wp:anchor distT="0" distB="0" distL="0" distR="0" simplePos="0" relativeHeight="251660288" behindDoc="0" locked="0" layoutInCell="1" allowOverlap="1">
            <wp:simplePos x="0" y="0"/>
            <wp:positionH relativeFrom="column">
              <wp:posOffset>5086350</wp:posOffset>
            </wp:positionH>
            <wp:positionV relativeFrom="paragraph">
              <wp:posOffset>-864870</wp:posOffset>
            </wp:positionV>
            <wp:extent cx="673100" cy="899795"/>
            <wp:effectExtent l="0" t="0" r="0" b="0"/>
            <wp:wrapNone/>
            <wp:docPr id="109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1"/>
                    <pic:cNvPicPr>
                      <a:picLocks noChangeAspect="1"/>
                    </pic:cNvPicPr>
                  </pic:nvPicPr>
                  <pic:blipFill>
                    <a:blip r:embed="rId15" cstate="print"/>
                    <a:srcRect/>
                    <a:stretch>
                      <a:fillRect/>
                    </a:stretch>
                  </pic:blipFill>
                  <pic:spPr>
                    <a:xfrm>
                      <a:off x="0" y="0"/>
                      <a:ext cx="673100" cy="899794"/>
                    </a:xfrm>
                    <a:prstGeom prst="rect">
                      <a:avLst/>
                    </a:prstGeom>
                    <a:ln>
                      <a:noFill/>
                    </a:ln>
                  </pic:spPr>
                </pic:pic>
              </a:graphicData>
            </a:graphic>
          </wp:anchor>
        </w:drawing>
      </w:r>
      <w:r>
        <w:rPr>
          <w:color w:val="auto"/>
          <w:sz w:val="24"/>
          <w:highlight w:val="none"/>
        </w:rPr>
        <w:drawing>
          <wp:anchor distT="0" distB="0" distL="0" distR="0" simplePos="0" relativeHeight="251660288" behindDoc="1" locked="0" layoutInCell="1" allowOverlap="1">
            <wp:simplePos x="0" y="0"/>
            <wp:positionH relativeFrom="column">
              <wp:posOffset>-981710</wp:posOffset>
            </wp:positionH>
            <wp:positionV relativeFrom="paragraph">
              <wp:posOffset>-863600</wp:posOffset>
            </wp:positionV>
            <wp:extent cx="6734810" cy="8724900"/>
            <wp:effectExtent l="0" t="0" r="1270" b="7620"/>
            <wp:wrapNone/>
            <wp:docPr id="1093" name="Image1" descr="E:\01工作\33中山项目\1环评项目\001中山文件\地理位置图\中山市地图低像素版.jpg中山市地图低像素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1" descr="E:\01工作\33中山项目\1环评项目\001中山文件\地理位置图\中山市地图低像素版.jpg中山市地图低像素版"/>
                    <pic:cNvPicPr>
                      <a:picLocks noChangeAspect="1"/>
                    </pic:cNvPicPr>
                  </pic:nvPicPr>
                  <pic:blipFill>
                    <a:blip r:embed="rId16" cstate="print"/>
                    <a:srcRect/>
                    <a:stretch>
                      <a:fillRect/>
                    </a:stretch>
                  </pic:blipFill>
                  <pic:spPr>
                    <a:xfrm>
                      <a:off x="0" y="0"/>
                      <a:ext cx="6734810" cy="8724900"/>
                    </a:xfrm>
                    <a:prstGeom prst="rect">
                      <a:avLst/>
                    </a:prstGeom>
                    <a:ln>
                      <a:noFill/>
                    </a:ln>
                  </pic:spPr>
                </pic:pic>
              </a:graphicData>
            </a:graphic>
          </wp:anchor>
        </w:drawing>
      </w:r>
      <w:r>
        <w:rPr>
          <w:color w:val="auto"/>
          <w:highlight w:val="none"/>
        </w:rPr>
        <w:pict>
          <v:shape id="1091" o:spid="_x0000_s1028" o:spt="202" type="#_x0000_t202" style="position:absolute;left:0pt;margin-left:98.15pt;margin-top:646.9pt;height:32.25pt;width:207.85pt;z-index:251660288;mso-width-relative:page;mso-height-relative:page;" filled="f" stroked="f" coordsize="21600,21600">
            <v:path/>
            <v:fill on="f" focussize="0,0"/>
            <v:stroke on="f"/>
            <v:imagedata o:title=""/>
            <o:lock v:ext="edit"/>
            <v:textbox>
              <w:txbxContent>
                <w:p w14:paraId="3318176D">
                  <w:pPr>
                    <w:rPr>
                      <w:b/>
                      <w:sz w:val="28"/>
                      <w:szCs w:val="28"/>
                    </w:rPr>
                  </w:pPr>
                  <w:r>
                    <w:rPr>
                      <w:rFonts w:hint="eastAsia"/>
                      <w:b/>
                      <w:sz w:val="28"/>
                      <w:szCs w:val="28"/>
                    </w:rPr>
                    <w:t>附图</w:t>
                  </w:r>
                  <w:r>
                    <w:rPr>
                      <w:rFonts w:hint="eastAsia" w:ascii="宋体" w:hAnsi="宋体"/>
                      <w:b/>
                      <w:sz w:val="28"/>
                      <w:szCs w:val="28"/>
                    </w:rPr>
                    <w:t>1    建设项目地理位置图</w:t>
                  </w:r>
                </w:p>
              </w:txbxContent>
            </v:textbox>
          </v:shape>
        </w:pict>
      </w:r>
    </w:p>
    <w:bookmarkEnd w:id="0"/>
    <w:p w14:paraId="0F9BC3F0">
      <w:pPr>
        <w:jc w:val="center"/>
        <w:rPr>
          <w:color w:val="auto"/>
          <w:highlight w:val="none"/>
        </w:rPr>
      </w:pPr>
      <w:r>
        <w:drawing>
          <wp:inline distT="0" distB="0" distL="114300" distR="114300">
            <wp:extent cx="6848475" cy="4857750"/>
            <wp:effectExtent l="0" t="0" r="9525"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7"/>
                    <a:stretch>
                      <a:fillRect/>
                    </a:stretch>
                  </pic:blipFill>
                  <pic:spPr>
                    <a:xfrm>
                      <a:off x="0" y="0"/>
                      <a:ext cx="6848475" cy="4857750"/>
                    </a:xfrm>
                    <a:prstGeom prst="rect">
                      <a:avLst/>
                    </a:prstGeom>
                    <a:noFill/>
                    <a:ln>
                      <a:noFill/>
                    </a:ln>
                  </pic:spPr>
                </pic:pic>
              </a:graphicData>
            </a:graphic>
          </wp:inline>
        </w:drawing>
      </w:r>
    </w:p>
    <w:p w14:paraId="057673F1">
      <w:pPr>
        <w:rPr>
          <w:color w:val="auto"/>
          <w:highlight w:val="none"/>
        </w:rPr>
        <w:sectPr>
          <w:pgSz w:w="16838" w:h="11906" w:orient="landscape"/>
          <w:pgMar w:top="1797" w:right="1440" w:bottom="1797" w:left="1440" w:header="851" w:footer="992" w:gutter="0"/>
          <w:cols w:space="720" w:num="1"/>
          <w:docGrid w:linePitch="312" w:charSpace="0"/>
        </w:sectPr>
      </w:pPr>
      <w:r>
        <w:rPr>
          <w:color w:val="auto"/>
          <w:sz w:val="28"/>
          <w:szCs w:val="28"/>
          <w:highlight w:val="none"/>
        </w:rPr>
        <w:pict>
          <v:shape id="1095" o:spid="_x0000_s1029" o:spt="202" type="#_x0000_t202" style="position:absolute;left:0pt;margin-left:269.2pt;margin-top:1.75pt;height:32.25pt;width:175.75pt;z-index:251660288;mso-width-relative:page;mso-height-relative:page;" filled="f" stroked="f" coordsize="21600,21600">
            <v:path/>
            <v:fill on="f" focussize="0,0"/>
            <v:stroke on="f"/>
            <v:imagedata o:title=""/>
            <o:lock v:ext="edit"/>
            <v:textbox>
              <w:txbxContent>
                <w:p w14:paraId="1D0C8737">
                  <w:pPr>
                    <w:rPr>
                      <w:b/>
                      <w:sz w:val="28"/>
                      <w:szCs w:val="28"/>
                    </w:rPr>
                  </w:pPr>
                  <w:r>
                    <w:rPr>
                      <w:rFonts w:hint="eastAsia"/>
                      <w:b/>
                      <w:sz w:val="28"/>
                      <w:szCs w:val="28"/>
                    </w:rPr>
                    <w:t>附图</w:t>
                  </w:r>
                  <w:r>
                    <w:rPr>
                      <w:rFonts w:hint="eastAsia" w:ascii="宋体" w:hAnsi="宋体"/>
                      <w:b/>
                      <w:sz w:val="28"/>
                      <w:szCs w:val="28"/>
                    </w:rPr>
                    <w:t>2  建设项目四置图</w:t>
                  </w:r>
                </w:p>
              </w:txbxContent>
            </v:textbox>
          </v:shape>
        </w:pict>
      </w:r>
    </w:p>
    <w:p w14:paraId="3FF1DFD3">
      <w:pPr>
        <w:jc w:val="center"/>
        <w:rPr>
          <w:rFonts w:hint="eastAsia" w:eastAsia="宋体"/>
          <w:color w:val="auto"/>
          <w:highlight w:val="none"/>
          <w:lang w:eastAsia="zh-CN"/>
        </w:rPr>
        <w:sectPr>
          <w:pgSz w:w="16838" w:h="11906" w:orient="landscape"/>
          <w:pgMar w:top="1417" w:right="1417" w:bottom="1134" w:left="1406" w:header="851" w:footer="567" w:gutter="0"/>
          <w:cols w:space="720" w:num="1"/>
          <w:rtlGutter w:val="0"/>
          <w:docGrid w:type="linesAndChars" w:linePitch="322" w:charSpace="535"/>
        </w:sectPr>
      </w:pPr>
      <w:r>
        <w:rPr>
          <w:color w:val="auto"/>
        </w:rPr>
        <w:drawing>
          <wp:anchor distT="0" distB="0" distL="114300" distR="114300" simplePos="0" relativeHeight="251678720" behindDoc="0" locked="0" layoutInCell="1" allowOverlap="1">
            <wp:simplePos x="0" y="0"/>
            <wp:positionH relativeFrom="column">
              <wp:posOffset>8117840</wp:posOffset>
            </wp:positionH>
            <wp:positionV relativeFrom="paragraph">
              <wp:posOffset>-272415</wp:posOffset>
            </wp:positionV>
            <wp:extent cx="711200" cy="953770"/>
            <wp:effectExtent l="118110" t="212090" r="128270" b="219710"/>
            <wp:wrapNone/>
            <wp:docPr id="1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a:picLocks noChangeAspect="1"/>
                    </pic:cNvPicPr>
                  </pic:nvPicPr>
                  <pic:blipFill>
                    <a:blip r:embed="rId18"/>
                    <a:stretch>
                      <a:fillRect/>
                    </a:stretch>
                  </pic:blipFill>
                  <pic:spPr>
                    <a:xfrm rot="14040000">
                      <a:off x="0" y="0"/>
                      <a:ext cx="711200" cy="953770"/>
                    </a:xfrm>
                    <a:prstGeom prst="rect">
                      <a:avLst/>
                    </a:prstGeom>
                    <a:noFill/>
                    <a:ln w="9525">
                      <a:noFill/>
                    </a:ln>
                  </pic:spPr>
                </pic:pic>
              </a:graphicData>
            </a:graphic>
          </wp:anchor>
        </w:drawing>
      </w:r>
      <w:r>
        <w:drawing>
          <wp:anchor distT="0" distB="0" distL="114300" distR="114300" simplePos="0" relativeHeight="251677696" behindDoc="0" locked="0" layoutInCell="1" allowOverlap="1">
            <wp:simplePos x="0" y="0"/>
            <wp:positionH relativeFrom="column">
              <wp:posOffset>817880</wp:posOffset>
            </wp:positionH>
            <wp:positionV relativeFrom="paragraph">
              <wp:posOffset>321945</wp:posOffset>
            </wp:positionV>
            <wp:extent cx="7191375" cy="4876800"/>
            <wp:effectExtent l="0" t="0" r="9525" b="0"/>
            <wp:wrapNone/>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9"/>
                    <a:stretch>
                      <a:fillRect/>
                    </a:stretch>
                  </pic:blipFill>
                  <pic:spPr>
                    <a:xfrm>
                      <a:off x="0" y="0"/>
                      <a:ext cx="7191375" cy="4876800"/>
                    </a:xfrm>
                    <a:prstGeom prst="rect">
                      <a:avLst/>
                    </a:prstGeom>
                    <a:noFill/>
                    <a:ln>
                      <a:noFill/>
                    </a:ln>
                  </pic:spPr>
                </pic:pic>
              </a:graphicData>
            </a:graphic>
          </wp:anchor>
        </w:drawing>
      </w:r>
      <w:r>
        <w:rPr>
          <w:color w:val="auto"/>
          <w:sz w:val="28"/>
          <w:szCs w:val="28"/>
          <w:highlight w:val="none"/>
        </w:rPr>
        <mc:AlternateContent>
          <mc:Choice Requires="wps">
            <w:drawing>
              <wp:anchor distT="0" distB="0" distL="114300" distR="114300" simplePos="0" relativeHeight="251675648" behindDoc="0" locked="0" layoutInCell="1" allowOverlap="1">
                <wp:simplePos x="0" y="0"/>
                <wp:positionH relativeFrom="column">
                  <wp:posOffset>3105785</wp:posOffset>
                </wp:positionH>
                <wp:positionV relativeFrom="paragraph">
                  <wp:posOffset>5651500</wp:posOffset>
                </wp:positionV>
                <wp:extent cx="3032760" cy="443865"/>
                <wp:effectExtent l="0" t="0" r="0" b="0"/>
                <wp:wrapNone/>
                <wp:docPr id="13" name="1098"/>
                <wp:cNvGraphicFramePr/>
                <a:graphic xmlns:a="http://schemas.openxmlformats.org/drawingml/2006/main">
                  <a:graphicData uri="http://schemas.microsoft.com/office/word/2010/wordprocessingShape">
                    <wps:wsp>
                      <wps:cNvSpPr txBox="1"/>
                      <wps:spPr>
                        <a:xfrm>
                          <a:off x="0" y="0"/>
                          <a:ext cx="3032760" cy="443865"/>
                        </a:xfrm>
                        <a:prstGeom prst="rect">
                          <a:avLst/>
                        </a:prstGeom>
                        <a:noFill/>
                        <a:ln w="6350">
                          <a:noFill/>
                        </a:ln>
                      </wps:spPr>
                      <wps:txbx>
                        <w:txbxContent>
                          <w:p w14:paraId="5B90AE03">
                            <w:pPr>
                              <w:rPr>
                                <w:b/>
                                <w:sz w:val="28"/>
                                <w:szCs w:val="28"/>
                              </w:rPr>
                            </w:pPr>
                            <w:r>
                              <w:rPr>
                                <w:rFonts w:hint="eastAsia"/>
                                <w:b/>
                                <w:sz w:val="28"/>
                                <w:szCs w:val="28"/>
                              </w:rPr>
                              <w:t>附图</w:t>
                            </w:r>
                            <w:r>
                              <w:rPr>
                                <w:rFonts w:hint="eastAsia"/>
                                <w:b/>
                                <w:sz w:val="28"/>
                                <w:szCs w:val="28"/>
                                <w:lang w:val="en-US" w:eastAsia="zh-CN"/>
                              </w:rPr>
                              <w:t>3-1</w:t>
                            </w:r>
                            <w:r>
                              <w:rPr>
                                <w:rFonts w:hint="eastAsia"/>
                                <w:b/>
                                <w:sz w:val="28"/>
                                <w:szCs w:val="28"/>
                              </w:rPr>
                              <w:t xml:space="preserve">  </w:t>
                            </w:r>
                            <w:r>
                              <w:rPr>
                                <w:rFonts w:hint="eastAsia"/>
                                <w:b/>
                                <w:sz w:val="28"/>
                                <w:szCs w:val="28"/>
                                <w:lang w:val="en-US" w:eastAsia="zh-CN"/>
                              </w:rPr>
                              <w:t>2楼</w:t>
                            </w:r>
                            <w:r>
                              <w:rPr>
                                <w:rFonts w:hint="eastAsia"/>
                                <w:b/>
                                <w:sz w:val="28"/>
                                <w:szCs w:val="28"/>
                                <w:lang w:eastAsia="zh-CN"/>
                              </w:rPr>
                              <w:t>生产车间</w:t>
                            </w:r>
                            <w:r>
                              <w:rPr>
                                <w:rFonts w:hint="eastAsia"/>
                                <w:b/>
                                <w:sz w:val="28"/>
                                <w:szCs w:val="28"/>
                              </w:rPr>
                              <w:t>平面布置图</w:t>
                            </w:r>
                          </w:p>
                        </w:txbxContent>
                      </wps:txbx>
                      <wps:bodyPr upright="1"/>
                    </wps:wsp>
                  </a:graphicData>
                </a:graphic>
              </wp:anchor>
            </w:drawing>
          </mc:Choice>
          <mc:Fallback>
            <w:pict>
              <v:shape id="1098" o:spid="_x0000_s1026" o:spt="202" type="#_x0000_t202" style="position:absolute;left:0pt;margin-left:244.55pt;margin-top:445pt;height:34.95pt;width:238.8pt;z-index:251675648;mso-width-relative:page;mso-height-relative:page;" filled="f" stroked="f" coordsize="21600,21600" o:gfxdata="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VMq1adwAAAALAQAA&#10;DwAAAAAAAAABACAAAAAiAAAAZHJzL2Rvd25yZXYueG1sUEsBAhQAFAAAAAgAh07iQBtpGSGjAQAA&#10;UQMAAA4AAAAAAAAAAQAgAAAAKwEAAGRycy9lMm9Eb2MueG1sUEsFBgAAAAAGAAYAWQEAAEAFAAAA&#10;AA==&#10;">
                <v:fill on="f" focussize="0,0"/>
                <v:stroke on="f" weight="0.5pt"/>
                <v:imagedata o:title=""/>
                <o:lock v:ext="edit" aspectratio="f"/>
                <v:textbox>
                  <w:txbxContent>
                    <w:p w14:paraId="5B90AE03">
                      <w:pPr>
                        <w:rPr>
                          <w:b/>
                          <w:sz w:val="28"/>
                          <w:szCs w:val="28"/>
                        </w:rPr>
                      </w:pPr>
                      <w:r>
                        <w:rPr>
                          <w:rFonts w:hint="eastAsia"/>
                          <w:b/>
                          <w:sz w:val="28"/>
                          <w:szCs w:val="28"/>
                        </w:rPr>
                        <w:t>附图</w:t>
                      </w:r>
                      <w:r>
                        <w:rPr>
                          <w:rFonts w:hint="eastAsia"/>
                          <w:b/>
                          <w:sz w:val="28"/>
                          <w:szCs w:val="28"/>
                          <w:lang w:val="en-US" w:eastAsia="zh-CN"/>
                        </w:rPr>
                        <w:t>3-1</w:t>
                      </w:r>
                      <w:r>
                        <w:rPr>
                          <w:rFonts w:hint="eastAsia"/>
                          <w:b/>
                          <w:sz w:val="28"/>
                          <w:szCs w:val="28"/>
                        </w:rPr>
                        <w:t xml:space="preserve">  </w:t>
                      </w:r>
                      <w:r>
                        <w:rPr>
                          <w:rFonts w:hint="eastAsia"/>
                          <w:b/>
                          <w:sz w:val="28"/>
                          <w:szCs w:val="28"/>
                          <w:lang w:val="en-US" w:eastAsia="zh-CN"/>
                        </w:rPr>
                        <w:t>2楼</w:t>
                      </w:r>
                      <w:r>
                        <w:rPr>
                          <w:rFonts w:hint="eastAsia"/>
                          <w:b/>
                          <w:sz w:val="28"/>
                          <w:szCs w:val="28"/>
                          <w:lang w:eastAsia="zh-CN"/>
                        </w:rPr>
                        <w:t>生产车间</w:t>
                      </w:r>
                      <w:r>
                        <w:rPr>
                          <w:rFonts w:hint="eastAsia"/>
                          <w:b/>
                          <w:sz w:val="28"/>
                          <w:szCs w:val="28"/>
                        </w:rPr>
                        <w:t>平面布置图</w:t>
                      </w:r>
                    </w:p>
                  </w:txbxContent>
                </v:textbox>
              </v:shape>
            </w:pict>
          </mc:Fallback>
        </mc:AlternateContent>
      </w:r>
      <w:r>
        <w:rPr>
          <w:rFonts w:hint="eastAsia" w:eastAsia="宋体"/>
          <w:color w:val="auto"/>
          <w:highlight w:val="none"/>
          <w:lang w:eastAsia="zh-CN"/>
        </w:rPr>
        <w:br w:type="page"/>
      </w:r>
      <w:r>
        <w:drawing>
          <wp:anchor distT="0" distB="0" distL="114300" distR="114300" simplePos="0" relativeHeight="251679744" behindDoc="0" locked="0" layoutInCell="1" allowOverlap="1">
            <wp:simplePos x="0" y="0"/>
            <wp:positionH relativeFrom="column">
              <wp:posOffset>725170</wp:posOffset>
            </wp:positionH>
            <wp:positionV relativeFrom="paragraph">
              <wp:posOffset>382905</wp:posOffset>
            </wp:positionV>
            <wp:extent cx="7181850" cy="4848225"/>
            <wp:effectExtent l="0" t="0" r="0" b="9525"/>
            <wp:wrapNone/>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0"/>
                    <a:stretch>
                      <a:fillRect/>
                    </a:stretch>
                  </pic:blipFill>
                  <pic:spPr>
                    <a:xfrm>
                      <a:off x="0" y="0"/>
                      <a:ext cx="7181850" cy="4848225"/>
                    </a:xfrm>
                    <a:prstGeom prst="rect">
                      <a:avLst/>
                    </a:prstGeom>
                    <a:noFill/>
                    <a:ln>
                      <a:noFill/>
                    </a:ln>
                  </pic:spPr>
                </pic:pic>
              </a:graphicData>
            </a:graphic>
          </wp:anchor>
        </w:drawing>
      </w:r>
      <w:r>
        <w:rPr>
          <w:color w:val="auto"/>
        </w:rPr>
        <w:drawing>
          <wp:anchor distT="0" distB="0" distL="114300" distR="114300" simplePos="0" relativeHeight="251666432" behindDoc="0" locked="0" layoutInCell="1" allowOverlap="1">
            <wp:simplePos x="0" y="0"/>
            <wp:positionH relativeFrom="column">
              <wp:posOffset>8200390</wp:posOffset>
            </wp:positionH>
            <wp:positionV relativeFrom="paragraph">
              <wp:posOffset>-34290</wp:posOffset>
            </wp:positionV>
            <wp:extent cx="711200" cy="953770"/>
            <wp:effectExtent l="227965" t="115570" r="241935" b="130810"/>
            <wp:wrapNone/>
            <wp:docPr id="2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a:picLocks noChangeAspect="1"/>
                    </pic:cNvPicPr>
                  </pic:nvPicPr>
                  <pic:blipFill>
                    <a:blip r:embed="rId18"/>
                    <a:stretch>
                      <a:fillRect/>
                    </a:stretch>
                  </pic:blipFill>
                  <pic:spPr>
                    <a:xfrm rot="13320000">
                      <a:off x="0" y="0"/>
                      <a:ext cx="711200" cy="953770"/>
                    </a:xfrm>
                    <a:prstGeom prst="rect">
                      <a:avLst/>
                    </a:prstGeom>
                    <a:noFill/>
                    <a:ln w="9525">
                      <a:no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7868285</wp:posOffset>
                </wp:positionH>
                <wp:positionV relativeFrom="paragraph">
                  <wp:posOffset>4794250</wp:posOffset>
                </wp:positionV>
                <wp:extent cx="1086485" cy="304800"/>
                <wp:effectExtent l="4445" t="4445" r="13970" b="14605"/>
                <wp:wrapNone/>
                <wp:docPr id="1096" name="文本框 66"/>
                <wp:cNvGraphicFramePr/>
                <a:graphic xmlns:a="http://schemas.openxmlformats.org/drawingml/2006/main">
                  <a:graphicData uri="http://schemas.microsoft.com/office/word/2010/wordprocessingShape">
                    <wps:wsp>
                      <wps:cNvSpPr/>
                      <wps:spPr>
                        <a:xfrm>
                          <a:off x="0" y="0"/>
                          <a:ext cx="1086484" cy="3048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27158F">
                            <w:pPr>
                              <w:rPr>
                                <w:rFonts w:hint="default" w:eastAsia="宋体"/>
                                <w:lang w:val="en-US" w:eastAsia="zh-CN"/>
                              </w:rPr>
                            </w:pPr>
                            <w:r>
                              <w:rPr>
                                <w:rFonts w:hint="eastAsia"/>
                                <w:lang w:eastAsia="zh-CN"/>
                              </w:rPr>
                              <w:t>图例</w:t>
                            </w:r>
                            <w:r>
                              <w:rPr>
                                <w:rFonts w:hint="eastAsia"/>
                                <w:lang w:val="en-US" w:eastAsia="zh-CN"/>
                              </w:rPr>
                              <w:t>1：10m</w:t>
                            </w:r>
                          </w:p>
                        </w:txbxContent>
                      </wps:txbx>
                      <wps:bodyPr upright="1"/>
                    </wps:wsp>
                  </a:graphicData>
                </a:graphic>
              </wp:anchor>
            </w:drawing>
          </mc:Choice>
          <mc:Fallback>
            <w:pict>
              <v:rect id="文本框 66" o:spid="_x0000_s1026" o:spt="1" style="position:absolute;left:0pt;margin-left:619.55pt;margin-top:377.5pt;height:24pt;width:85.55pt;z-index:251660288;mso-width-relative:page;mso-height-relative:page;" fillcolor="#FFFFFF" filled="t" stroked="t" coordsize="21600,21600" o:gfxdata="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jR7kLaAAAADQEAAA8AAAAAAAAAAQAg&#10;AAAAIgAAAGRycy9kb3ducmV2LnhtbFBLAQIUABQAAAAIAIdO4kDv49w1DAIAADAEAAAOAAAAAAAA&#10;AAEAIAAAACkBAABkcnMvZTJvRG9jLnhtbFBLBQYAAAAABgAGAFkBAACnBQAAAAA=&#10;">
                <v:fill on="t" focussize="0,0"/>
                <v:stroke color="#000000" joinstyle="miter"/>
                <v:imagedata o:title=""/>
                <o:lock v:ext="edit" aspectratio="f"/>
                <v:textbox>
                  <w:txbxContent>
                    <w:p w14:paraId="1E27158F">
                      <w:pPr>
                        <w:rPr>
                          <w:rFonts w:hint="default" w:eastAsia="宋体"/>
                          <w:lang w:val="en-US" w:eastAsia="zh-CN"/>
                        </w:rPr>
                      </w:pPr>
                      <w:r>
                        <w:rPr>
                          <w:rFonts w:hint="eastAsia"/>
                          <w:lang w:eastAsia="zh-CN"/>
                        </w:rPr>
                        <w:t>图例</w:t>
                      </w:r>
                      <w:r>
                        <w:rPr>
                          <w:rFonts w:hint="eastAsia"/>
                          <w:lang w:val="en-US" w:eastAsia="zh-CN"/>
                        </w:rPr>
                        <w:t>1：10m</w:t>
                      </w:r>
                    </w:p>
                  </w:txbxContent>
                </v:textbox>
              </v:rect>
            </w:pict>
          </mc:Fallback>
        </mc:AlternateContent>
      </w:r>
      <w:r>
        <w:rPr>
          <w:color w:val="auto"/>
          <w:sz w:val="28"/>
          <w:szCs w:val="28"/>
          <w:highlight w:val="none"/>
        </w:rPr>
        <mc:AlternateContent>
          <mc:Choice Requires="wps">
            <w:drawing>
              <wp:anchor distT="0" distB="0" distL="114300" distR="114300" simplePos="0" relativeHeight="251676672" behindDoc="0" locked="0" layoutInCell="1" allowOverlap="1">
                <wp:simplePos x="0" y="0"/>
                <wp:positionH relativeFrom="column">
                  <wp:posOffset>2992755</wp:posOffset>
                </wp:positionH>
                <wp:positionV relativeFrom="paragraph">
                  <wp:posOffset>5583555</wp:posOffset>
                </wp:positionV>
                <wp:extent cx="3032760" cy="443865"/>
                <wp:effectExtent l="0" t="0" r="0" b="0"/>
                <wp:wrapNone/>
                <wp:docPr id="14" name="1098"/>
                <wp:cNvGraphicFramePr/>
                <a:graphic xmlns:a="http://schemas.openxmlformats.org/drawingml/2006/main">
                  <a:graphicData uri="http://schemas.microsoft.com/office/word/2010/wordprocessingShape">
                    <wps:wsp>
                      <wps:cNvSpPr txBox="1"/>
                      <wps:spPr>
                        <a:xfrm>
                          <a:off x="0" y="0"/>
                          <a:ext cx="3032760" cy="443865"/>
                        </a:xfrm>
                        <a:prstGeom prst="rect">
                          <a:avLst/>
                        </a:prstGeom>
                        <a:noFill/>
                        <a:ln w="6350">
                          <a:noFill/>
                        </a:ln>
                      </wps:spPr>
                      <wps:txbx>
                        <w:txbxContent>
                          <w:p w14:paraId="61A7E1AE">
                            <w:pPr>
                              <w:rPr>
                                <w:b/>
                                <w:sz w:val="28"/>
                                <w:szCs w:val="28"/>
                              </w:rPr>
                            </w:pPr>
                            <w:r>
                              <w:rPr>
                                <w:rFonts w:hint="eastAsia"/>
                                <w:b/>
                                <w:sz w:val="28"/>
                                <w:szCs w:val="28"/>
                              </w:rPr>
                              <w:t>附图</w:t>
                            </w:r>
                            <w:r>
                              <w:rPr>
                                <w:rFonts w:hint="eastAsia"/>
                                <w:b/>
                                <w:sz w:val="28"/>
                                <w:szCs w:val="28"/>
                                <w:lang w:val="en-US" w:eastAsia="zh-CN"/>
                              </w:rPr>
                              <w:t>3-1</w:t>
                            </w:r>
                            <w:r>
                              <w:rPr>
                                <w:rFonts w:hint="eastAsia"/>
                                <w:b/>
                                <w:sz w:val="28"/>
                                <w:szCs w:val="28"/>
                              </w:rPr>
                              <w:t xml:space="preserve">  </w:t>
                            </w:r>
                            <w:r>
                              <w:rPr>
                                <w:rFonts w:hint="eastAsia"/>
                                <w:b/>
                                <w:sz w:val="28"/>
                                <w:szCs w:val="28"/>
                                <w:lang w:val="en-US" w:eastAsia="zh-CN"/>
                              </w:rPr>
                              <w:t>3楼</w:t>
                            </w:r>
                            <w:r>
                              <w:rPr>
                                <w:rFonts w:hint="eastAsia"/>
                                <w:b/>
                                <w:sz w:val="28"/>
                                <w:szCs w:val="28"/>
                                <w:lang w:eastAsia="zh-CN"/>
                              </w:rPr>
                              <w:t>生产车间</w:t>
                            </w:r>
                            <w:r>
                              <w:rPr>
                                <w:rFonts w:hint="eastAsia"/>
                                <w:b/>
                                <w:sz w:val="28"/>
                                <w:szCs w:val="28"/>
                              </w:rPr>
                              <w:t>平面布置图</w:t>
                            </w:r>
                          </w:p>
                        </w:txbxContent>
                      </wps:txbx>
                      <wps:bodyPr upright="1"/>
                    </wps:wsp>
                  </a:graphicData>
                </a:graphic>
              </wp:anchor>
            </w:drawing>
          </mc:Choice>
          <mc:Fallback>
            <w:pict>
              <v:shape id="1098" o:spid="_x0000_s1026" o:spt="202" type="#_x0000_t202" style="position:absolute;left:0pt;margin-left:235.65pt;margin-top:439.65pt;height:34.95pt;width:238.8pt;z-index:251676672;mso-width-relative:page;mso-height-relative:page;" filled="f" stroked="f" coordsize="21600,21600" o:gfxdata="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6MbGS2wAAAAsBAAAP&#10;AAAAAAAAAAEAIAAAACIAAABkcnMvZG93bnJldi54bWxQSwECFAAUAAAACACHTuJA3NwIzKMBAABR&#10;AwAADgAAAAAAAAABACAAAAAqAQAAZHJzL2Uyb0RvYy54bWxQSwUGAAAAAAYABgBZAQAAPwUAAAAA&#10;">
                <v:fill on="f" focussize="0,0"/>
                <v:stroke on="f" weight="0.5pt"/>
                <v:imagedata o:title=""/>
                <o:lock v:ext="edit" aspectratio="f"/>
                <v:textbox>
                  <w:txbxContent>
                    <w:p w14:paraId="61A7E1AE">
                      <w:pPr>
                        <w:rPr>
                          <w:b/>
                          <w:sz w:val="28"/>
                          <w:szCs w:val="28"/>
                        </w:rPr>
                      </w:pPr>
                      <w:r>
                        <w:rPr>
                          <w:rFonts w:hint="eastAsia"/>
                          <w:b/>
                          <w:sz w:val="28"/>
                          <w:szCs w:val="28"/>
                        </w:rPr>
                        <w:t>附图</w:t>
                      </w:r>
                      <w:r>
                        <w:rPr>
                          <w:rFonts w:hint="eastAsia"/>
                          <w:b/>
                          <w:sz w:val="28"/>
                          <w:szCs w:val="28"/>
                          <w:lang w:val="en-US" w:eastAsia="zh-CN"/>
                        </w:rPr>
                        <w:t>3-1</w:t>
                      </w:r>
                      <w:r>
                        <w:rPr>
                          <w:rFonts w:hint="eastAsia"/>
                          <w:b/>
                          <w:sz w:val="28"/>
                          <w:szCs w:val="28"/>
                        </w:rPr>
                        <w:t xml:space="preserve">  </w:t>
                      </w:r>
                      <w:r>
                        <w:rPr>
                          <w:rFonts w:hint="eastAsia"/>
                          <w:b/>
                          <w:sz w:val="28"/>
                          <w:szCs w:val="28"/>
                          <w:lang w:val="en-US" w:eastAsia="zh-CN"/>
                        </w:rPr>
                        <w:t>3楼</w:t>
                      </w:r>
                      <w:r>
                        <w:rPr>
                          <w:rFonts w:hint="eastAsia"/>
                          <w:b/>
                          <w:sz w:val="28"/>
                          <w:szCs w:val="28"/>
                          <w:lang w:eastAsia="zh-CN"/>
                        </w:rPr>
                        <w:t>生产车间</w:t>
                      </w:r>
                      <w:r>
                        <w:rPr>
                          <w:rFonts w:hint="eastAsia"/>
                          <w:b/>
                          <w:sz w:val="28"/>
                          <w:szCs w:val="28"/>
                        </w:rPr>
                        <w:t>平面布置图</w:t>
                      </w:r>
                    </w:p>
                  </w:txbxContent>
                </v:textbox>
              </v:shape>
            </w:pict>
          </mc:Fallback>
        </mc:AlternateContent>
      </w:r>
    </w:p>
    <w:p w14:paraId="2CDBD4FE">
      <w:pPr>
        <w:jc w:val="center"/>
        <w:rPr>
          <w:b/>
          <w:bCs/>
          <w:color w:val="auto"/>
          <w:highlight w:val="none"/>
        </w:rPr>
        <w:sectPr>
          <w:pgSz w:w="16838" w:h="11906" w:orient="landscape"/>
          <w:pgMar w:top="1417" w:right="1417" w:bottom="1134" w:left="1406" w:header="851" w:footer="567" w:gutter="0"/>
          <w:cols w:space="720" w:num="1"/>
          <w:docGrid w:type="linesAndChars" w:linePitch="322" w:charSpace="530"/>
        </w:sectPr>
      </w:pPr>
      <w:r>
        <w:rPr>
          <w:color w:val="auto"/>
          <w:sz w:val="28"/>
          <w:szCs w:val="28"/>
          <w:highlight w:val="none"/>
        </w:rPr>
        <w:pict>
          <v:shape id="1101" o:spid="_x0000_s1031" o:spt="202" type="#_x0000_t202" style="position:absolute;left:0pt;margin-left:269.95pt;margin-top:452.9pt;height:34.95pt;width:176.9pt;z-index:251660288;mso-width-relative:page;mso-height-relative:page;" filled="f" stroked="f" coordsize="21600,21600">
            <v:path/>
            <v:fill on="f" focussize="0,0"/>
            <v:stroke on="f" weight="0.5pt"/>
            <v:imagedata o:title=""/>
            <o:lock v:ext="edit"/>
            <v:textbox>
              <w:txbxContent>
                <w:p w14:paraId="32EF48D7">
                  <w:pPr>
                    <w:rPr>
                      <w:b/>
                      <w:sz w:val="28"/>
                      <w:szCs w:val="28"/>
                    </w:rPr>
                  </w:pPr>
                  <w:r>
                    <w:rPr>
                      <w:rFonts w:hint="eastAsia"/>
                      <w:b/>
                      <w:sz w:val="28"/>
                      <w:szCs w:val="28"/>
                    </w:rPr>
                    <w:t>附图</w:t>
                  </w:r>
                  <w:r>
                    <w:rPr>
                      <w:rFonts w:hint="eastAsia"/>
                      <w:b/>
                      <w:sz w:val="28"/>
                      <w:szCs w:val="28"/>
                      <w:lang w:val="en-US" w:eastAsia="zh-CN"/>
                    </w:rPr>
                    <w:t>4</w:t>
                  </w:r>
                  <w:r>
                    <w:rPr>
                      <w:rFonts w:hint="eastAsia"/>
                      <w:b/>
                      <w:sz w:val="28"/>
                      <w:szCs w:val="28"/>
                    </w:rPr>
                    <w:t xml:space="preserve">   大气敏感点图</w:t>
                  </w:r>
                </w:p>
              </w:txbxContent>
            </v:textbox>
          </v:shape>
        </w:pict>
      </w:r>
      <w:r>
        <w:rPr>
          <w:color w:val="auto"/>
          <w:sz w:val="24"/>
          <w:highlight w:val="none"/>
        </w:rPr>
        <w:drawing>
          <wp:anchor distT="0" distB="0" distL="0" distR="0" simplePos="0" relativeHeight="251660288" behindDoc="0" locked="0" layoutInCell="1" allowOverlap="1">
            <wp:simplePos x="0" y="0"/>
            <wp:positionH relativeFrom="column">
              <wp:posOffset>7366000</wp:posOffset>
            </wp:positionH>
            <wp:positionV relativeFrom="paragraph">
              <wp:posOffset>189865</wp:posOffset>
            </wp:positionV>
            <wp:extent cx="718820" cy="962660"/>
            <wp:effectExtent l="0" t="0" r="5080" b="8890"/>
            <wp:wrapNone/>
            <wp:docPr id="1100"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1"/>
                    <pic:cNvPicPr>
                      <a:picLocks noChangeAspect="1"/>
                    </pic:cNvPicPr>
                  </pic:nvPicPr>
                  <pic:blipFill>
                    <a:blip r:embed="rId18" cstate="print"/>
                    <a:srcRect/>
                    <a:stretch>
                      <a:fillRect/>
                    </a:stretch>
                  </pic:blipFill>
                  <pic:spPr>
                    <a:xfrm>
                      <a:off x="0" y="0"/>
                      <a:ext cx="718820" cy="962660"/>
                    </a:xfrm>
                    <a:prstGeom prst="rect">
                      <a:avLst/>
                    </a:prstGeom>
                    <a:ln>
                      <a:noFill/>
                    </a:ln>
                  </pic:spPr>
                </pic:pic>
              </a:graphicData>
            </a:graphic>
          </wp:anchor>
        </w:drawing>
      </w:r>
      <w:r>
        <w:drawing>
          <wp:anchor distT="0" distB="0" distL="114300" distR="114300" simplePos="0" relativeHeight="251680768" behindDoc="0" locked="0" layoutInCell="1" allowOverlap="1">
            <wp:simplePos x="0" y="0"/>
            <wp:positionH relativeFrom="column">
              <wp:posOffset>1907540</wp:posOffset>
            </wp:positionH>
            <wp:positionV relativeFrom="paragraph">
              <wp:posOffset>147320</wp:posOffset>
            </wp:positionV>
            <wp:extent cx="5444490" cy="5412740"/>
            <wp:effectExtent l="0" t="0" r="3810" b="16510"/>
            <wp:wrapNone/>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21"/>
                    <a:stretch>
                      <a:fillRect/>
                    </a:stretch>
                  </pic:blipFill>
                  <pic:spPr>
                    <a:xfrm>
                      <a:off x="0" y="0"/>
                      <a:ext cx="5444490" cy="5412740"/>
                    </a:xfrm>
                    <a:prstGeom prst="rect">
                      <a:avLst/>
                    </a:prstGeom>
                    <a:noFill/>
                    <a:ln>
                      <a:noFill/>
                    </a:ln>
                  </pic:spPr>
                </pic:pic>
              </a:graphicData>
            </a:graphic>
          </wp:anchor>
        </w:drawing>
      </w:r>
      <w:r>
        <w:rPr>
          <w:color w:val="auto"/>
        </w:rPr>
        <w:drawing>
          <wp:anchor distT="0" distB="0" distL="114300" distR="114300" simplePos="0" relativeHeight="251662336" behindDoc="0" locked="0" layoutInCell="1" allowOverlap="1">
            <wp:simplePos x="0" y="0"/>
            <wp:positionH relativeFrom="column">
              <wp:posOffset>7376795</wp:posOffset>
            </wp:positionH>
            <wp:positionV relativeFrom="paragraph">
              <wp:posOffset>4399280</wp:posOffset>
            </wp:positionV>
            <wp:extent cx="1638300" cy="1447800"/>
            <wp:effectExtent l="0" t="0" r="0" b="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2"/>
                    <a:stretch>
                      <a:fillRect/>
                    </a:stretch>
                  </pic:blipFill>
                  <pic:spPr>
                    <a:xfrm>
                      <a:off x="0" y="0"/>
                      <a:ext cx="1638300" cy="1447800"/>
                    </a:xfrm>
                    <a:prstGeom prst="rect">
                      <a:avLst/>
                    </a:prstGeom>
                  </pic:spPr>
                </pic:pic>
              </a:graphicData>
            </a:graphic>
          </wp:anchor>
        </w:drawing>
      </w:r>
    </w:p>
    <w:p w14:paraId="7330CA6C">
      <w:pPr>
        <w:jc w:val="center"/>
        <w:rPr>
          <w:rFonts w:hint="eastAsia"/>
          <w:color w:val="auto"/>
          <w:highlight w:val="none"/>
        </w:rPr>
        <w:sectPr>
          <w:pgSz w:w="16838" w:h="11906" w:orient="landscape"/>
          <w:pgMar w:top="1417" w:right="1417" w:bottom="1134" w:left="1406" w:header="851" w:footer="567" w:gutter="0"/>
          <w:cols w:space="720" w:num="1"/>
          <w:rtlGutter w:val="0"/>
          <w:docGrid w:type="linesAndChars" w:linePitch="322" w:charSpace="535"/>
        </w:sectPr>
      </w:pPr>
      <w:r>
        <w:rPr>
          <w:color w:val="auto"/>
          <w:sz w:val="24"/>
          <w:highlight w:val="none"/>
        </w:rPr>
        <w:drawing>
          <wp:anchor distT="0" distB="0" distL="0" distR="0" simplePos="0" relativeHeight="251663360" behindDoc="0" locked="0" layoutInCell="1" allowOverlap="1">
            <wp:simplePos x="0" y="0"/>
            <wp:positionH relativeFrom="column">
              <wp:posOffset>8087995</wp:posOffset>
            </wp:positionH>
            <wp:positionV relativeFrom="paragraph">
              <wp:posOffset>0</wp:posOffset>
            </wp:positionV>
            <wp:extent cx="637540" cy="854075"/>
            <wp:effectExtent l="0" t="0" r="10160" b="3175"/>
            <wp:wrapNone/>
            <wp:docPr id="18"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
                    <pic:cNvPicPr>
                      <a:picLocks noChangeAspect="1"/>
                    </pic:cNvPicPr>
                  </pic:nvPicPr>
                  <pic:blipFill>
                    <a:blip r:embed="rId18" cstate="print"/>
                    <a:srcRect/>
                    <a:stretch>
                      <a:fillRect/>
                    </a:stretch>
                  </pic:blipFill>
                  <pic:spPr>
                    <a:xfrm>
                      <a:off x="0" y="0"/>
                      <a:ext cx="637540" cy="854075"/>
                    </a:xfrm>
                    <a:prstGeom prst="rect">
                      <a:avLst/>
                    </a:prstGeom>
                    <a:ln>
                      <a:noFill/>
                    </a:ln>
                  </pic:spPr>
                </pic:pic>
              </a:graphicData>
            </a:graphic>
          </wp:anchor>
        </w:drawing>
      </w:r>
      <w:r>
        <w:drawing>
          <wp:inline distT="0" distB="0" distL="114300" distR="114300">
            <wp:extent cx="8582025" cy="4876800"/>
            <wp:effectExtent l="0" t="0" r="9525" b="0"/>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23"/>
                    <a:stretch>
                      <a:fillRect/>
                    </a:stretch>
                  </pic:blipFill>
                  <pic:spPr>
                    <a:xfrm>
                      <a:off x="0" y="0"/>
                      <a:ext cx="8582025" cy="4876800"/>
                    </a:xfrm>
                    <a:prstGeom prst="rect">
                      <a:avLst/>
                    </a:prstGeom>
                    <a:noFill/>
                    <a:ln>
                      <a:noFill/>
                    </a:ln>
                  </pic:spPr>
                </pic:pic>
              </a:graphicData>
            </a:graphic>
          </wp:inline>
        </w:drawing>
      </w:r>
      <w:r>
        <w:rPr>
          <w:color w:val="auto"/>
          <w:sz w:val="28"/>
          <w:szCs w:val="28"/>
          <w:highlight w:val="none"/>
        </w:rPr>
        <w:pict>
          <v:shape id="1105" o:spid="_x0000_s1032" o:spt="202" type="#_x0000_t202" style="position:absolute;left:0pt;margin-left:241.65pt;margin-top:461.35pt;height:32.1pt;width:250.65pt;z-index:251660288;mso-width-relative:page;mso-height-relative:page;" filled="f" stroked="f" coordsize="21600,21600">
            <v:path/>
            <v:fill on="f" focussize="0,0"/>
            <v:stroke on="f" weight="0.5pt"/>
            <v:imagedata o:title=""/>
            <o:lock v:ext="edit" aspectratio="f"/>
            <v:textbox>
              <w:txbxContent>
                <w:p w14:paraId="612329DF">
                  <w:pPr>
                    <w:rPr>
                      <w:b/>
                      <w:sz w:val="28"/>
                      <w:szCs w:val="28"/>
                    </w:rPr>
                  </w:pPr>
                  <w:r>
                    <w:rPr>
                      <w:rFonts w:hint="eastAsia"/>
                      <w:b/>
                      <w:sz w:val="28"/>
                      <w:szCs w:val="28"/>
                    </w:rPr>
                    <w:t>附图</w:t>
                  </w:r>
                  <w:r>
                    <w:rPr>
                      <w:rFonts w:hint="eastAsia"/>
                      <w:b/>
                      <w:sz w:val="28"/>
                      <w:szCs w:val="28"/>
                      <w:lang w:val="en-US" w:eastAsia="zh-CN"/>
                    </w:rPr>
                    <w:t>5</w:t>
                  </w:r>
                  <w:r>
                    <w:rPr>
                      <w:rFonts w:hint="eastAsia"/>
                      <w:b/>
                      <w:sz w:val="28"/>
                      <w:szCs w:val="28"/>
                    </w:rPr>
                    <w:t xml:space="preserve"> </w:t>
                  </w:r>
                  <w:r>
                    <w:rPr>
                      <w:rFonts w:hint="eastAsia"/>
                      <w:b/>
                      <w:sz w:val="28"/>
                      <w:szCs w:val="28"/>
                      <w:lang w:eastAsia="zh-CN"/>
                    </w:rPr>
                    <w:t>中山市</w:t>
                  </w:r>
                  <w:r>
                    <w:rPr>
                      <w:rFonts w:hint="eastAsia"/>
                      <w:b/>
                      <w:sz w:val="28"/>
                      <w:szCs w:val="28"/>
                      <w:lang w:val="en-US" w:eastAsia="zh-CN"/>
                    </w:rPr>
                    <w:t>自然资源一图通</w:t>
                  </w:r>
                  <w:r>
                    <w:rPr>
                      <w:rFonts w:hint="eastAsia"/>
                      <w:b/>
                      <w:sz w:val="28"/>
                      <w:szCs w:val="28"/>
                      <w:lang w:eastAsia="zh-CN"/>
                    </w:rPr>
                    <w:t>截图</w:t>
                  </w:r>
                </w:p>
              </w:txbxContent>
            </v:textbox>
          </v:shape>
        </w:pict>
      </w:r>
    </w:p>
    <w:p w14:paraId="7EACBA78">
      <w:pPr>
        <w:pStyle w:val="84"/>
        <w:numPr>
          <w:ilvl w:val="0"/>
          <w:numId w:val="0"/>
        </w:numPr>
        <w:jc w:val="both"/>
        <w:outlineLvl w:val="0"/>
        <w:rPr>
          <w:color w:val="auto"/>
          <w:sz w:val="24"/>
          <w:highlight w:val="none"/>
        </w:rPr>
      </w:pPr>
      <w:bookmarkStart w:id="10" w:name="_Toc25282"/>
      <w:r>
        <w:rPr>
          <w:color w:val="auto"/>
          <w:sz w:val="32"/>
          <w:highlight w:val="none"/>
        </w:rPr>
        <w:pict>
          <v:shape id="1107" o:spid="_x0000_s1034" o:spt="12" type="#_x0000_t12" style="position:absolute;left:0pt;margin-left:105.9pt;margin-top:107.35pt;height:12.75pt;width:13.4pt;z-index:251660288;mso-width-relative:page;mso-height-relative:page;" fillcolor="#FF0000" filled="t" stroked="t" coordsize="21600,21600" adj="4125">
            <v:path/>
            <v:fill on="t" focussize="0,0"/>
            <v:stroke/>
            <v:imagedata o:title=""/>
            <o:lock v:ext="edit"/>
          </v:shape>
        </w:pict>
      </w:r>
      <w:r>
        <w:rPr>
          <w:color w:val="auto"/>
          <w:sz w:val="24"/>
          <w:highlight w:val="none"/>
        </w:rPr>
        <w:pict>
          <v:shape id="1106" o:spid="_x0000_s1033" o:spt="61" type="#_x0000_t61" style="position:absolute;left:0pt;margin-left:119.3pt;margin-top:71.3pt;height:20.25pt;width:69pt;z-index:251660288;mso-width-relative:page;mso-height-relative:page;" coordsize="21600,21600" adj="31,38880">
            <v:path/>
            <v:fill focussize="0,0"/>
            <v:stroke joinstyle="miter"/>
            <v:imagedata o:title=""/>
            <o:lock v:ext="edit"/>
            <v:textbox>
              <w:txbxContent>
                <w:p w14:paraId="2B360184">
                  <w:r>
                    <w:rPr>
                      <w:rFonts w:hint="eastAsia"/>
                    </w:rPr>
                    <w:t>项目所在地</w:t>
                  </w:r>
                </w:p>
              </w:txbxContent>
            </v:textbox>
          </v:shape>
        </w:pict>
      </w:r>
      <w:r>
        <w:rPr>
          <w:color w:val="auto"/>
          <w:sz w:val="28"/>
          <w:szCs w:val="28"/>
          <w:highlight w:val="none"/>
        </w:rPr>
        <w:pict>
          <v:shape id="1108" o:spid="_x0000_s1035" o:spt="202" type="#_x0000_t202" style="position:absolute;left:0pt;margin-left:119.7pt;margin-top:696.55pt;height:34.95pt;width:242.85pt;z-index:251660288;mso-width-relative:page;mso-height-relative:page;" filled="f" stroked="f" coordsize="21600,21600">
            <v:path/>
            <v:fill on="f" focussize="0,0"/>
            <v:stroke on="f" weight="0.5pt"/>
            <v:imagedata o:title=""/>
            <o:lock v:ext="edit"/>
            <v:textbox>
              <w:txbxContent>
                <w:p w14:paraId="498D7D02">
                  <w:pPr>
                    <w:rPr>
                      <w:b/>
                      <w:sz w:val="28"/>
                      <w:szCs w:val="28"/>
                    </w:rPr>
                  </w:pPr>
                  <w:r>
                    <w:rPr>
                      <w:rFonts w:hint="eastAsia"/>
                      <w:b/>
                      <w:sz w:val="28"/>
                      <w:szCs w:val="28"/>
                    </w:rPr>
                    <w:t>附图</w:t>
                  </w:r>
                  <w:r>
                    <w:rPr>
                      <w:rFonts w:hint="eastAsia"/>
                      <w:b/>
                      <w:sz w:val="28"/>
                      <w:szCs w:val="28"/>
                      <w:lang w:val="en-US" w:eastAsia="zh-CN"/>
                    </w:rPr>
                    <w:t>6</w:t>
                  </w:r>
                  <w:r>
                    <w:rPr>
                      <w:rFonts w:hint="eastAsia"/>
                      <w:b/>
                      <w:sz w:val="28"/>
                      <w:szCs w:val="28"/>
                    </w:rPr>
                    <w:t xml:space="preserve"> 建设项目</w:t>
                  </w:r>
                  <w:r>
                    <w:rPr>
                      <w:b/>
                      <w:sz w:val="28"/>
                      <w:szCs w:val="28"/>
                    </w:rPr>
                    <w:t>地表水功能区划</w:t>
                  </w:r>
                  <w:r>
                    <w:rPr>
                      <w:rFonts w:hint="eastAsia"/>
                      <w:b/>
                      <w:sz w:val="28"/>
                      <w:szCs w:val="28"/>
                    </w:rPr>
                    <w:t>图</w:t>
                  </w:r>
                </w:p>
              </w:txbxContent>
            </v:textbox>
          </v:shape>
        </w:pict>
      </w:r>
      <w:r>
        <w:rPr>
          <w:color w:val="auto"/>
          <w:sz w:val="24"/>
          <w:highlight w:val="none"/>
        </w:rPr>
        <w:drawing>
          <wp:inline distT="0" distB="0" distL="0" distR="0">
            <wp:extent cx="5905500" cy="8575040"/>
            <wp:effectExtent l="0" t="0" r="0" b="0"/>
            <wp:docPr id="1109" name="Image1"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1" descr="中山市水环境功能区划示意图"/>
                    <pic:cNvPicPr>
                      <a:picLocks noChangeAspect="1"/>
                    </pic:cNvPicPr>
                  </pic:nvPicPr>
                  <pic:blipFill>
                    <a:blip r:embed="rId24" cstate="print"/>
                    <a:srcRect/>
                    <a:stretch>
                      <a:fillRect/>
                    </a:stretch>
                  </pic:blipFill>
                  <pic:spPr>
                    <a:xfrm>
                      <a:off x="0" y="0"/>
                      <a:ext cx="5905500" cy="8575040"/>
                    </a:xfrm>
                    <a:prstGeom prst="rect">
                      <a:avLst/>
                    </a:prstGeom>
                    <a:ln>
                      <a:noFill/>
                    </a:ln>
                  </pic:spPr>
                </pic:pic>
              </a:graphicData>
            </a:graphic>
          </wp:inline>
        </w:drawing>
      </w:r>
      <w:bookmarkEnd w:id="10"/>
    </w:p>
    <w:p w14:paraId="615E6B88">
      <w:pPr>
        <w:spacing w:line="360" w:lineRule="auto"/>
        <w:rPr>
          <w:color w:val="auto"/>
          <w:highlight w:val="none"/>
        </w:rPr>
        <w:sectPr>
          <w:pgSz w:w="11906" w:h="16838"/>
          <w:pgMar w:top="1406" w:right="1418" w:bottom="1418" w:left="1134" w:header="851" w:footer="567" w:gutter="0"/>
          <w:cols w:space="720" w:num="1"/>
          <w:docGrid w:type="linesAndChars" w:linePitch="312" w:charSpace="0"/>
        </w:sectPr>
      </w:pPr>
      <w:r>
        <w:rPr>
          <w:b/>
          <w:bCs/>
          <w:color w:val="auto"/>
          <w:sz w:val="24"/>
          <w:highlight w:val="none"/>
        </w:rPr>
        <w:pict>
          <v:shape id="1110" o:spid="_x0000_s1036" o:spt="61" type="#_x0000_t61" style="position:absolute;left:0pt;margin-left:115.55pt;margin-top:101.6pt;height:22.5pt;width:69pt;z-index:251660288;mso-width-relative:page;mso-height-relative:page;" coordsize="21600,21600" adj="1017,31968">
            <v:path/>
            <v:fill focussize="0,0"/>
            <v:stroke joinstyle="miter"/>
            <v:imagedata o:title=""/>
            <o:lock v:ext="edit"/>
            <v:textbox>
              <w:txbxContent>
                <w:p w14:paraId="78D90B75">
                  <w:r>
                    <w:rPr>
                      <w:rFonts w:hint="eastAsia"/>
                    </w:rPr>
                    <w:t>项目所在地</w:t>
                  </w:r>
                </w:p>
              </w:txbxContent>
            </v:textbox>
          </v:shape>
        </w:pict>
      </w:r>
      <w:r>
        <w:rPr>
          <w:color w:val="auto"/>
          <w:sz w:val="32"/>
          <w:highlight w:val="none"/>
        </w:rPr>
        <w:pict>
          <v:shape id="1111" o:spid="_x0000_s1037" o:spt="12" type="#_x0000_t12" style="position:absolute;left:0pt;margin-left:109.05pt;margin-top:133.45pt;height:12.75pt;width:13.4pt;z-index:251660288;mso-width-relative:page;mso-height-relative:page;" fillcolor="#FF0000" filled="t" stroked="t" coordsize="21600,21600" adj="4125">
            <v:path/>
            <v:fill on="t" focussize="0,0"/>
            <v:stroke/>
            <v:imagedata o:title=""/>
            <o:lock v:ext="edit"/>
          </v:shape>
        </w:pict>
      </w:r>
      <w:r>
        <w:rPr>
          <w:b/>
          <w:bCs/>
          <w:color w:val="auto"/>
          <w:sz w:val="24"/>
          <w:highlight w:val="none"/>
        </w:rPr>
        <w:drawing>
          <wp:inline distT="0" distB="0" distL="0" distR="0">
            <wp:extent cx="5974715" cy="8590915"/>
            <wp:effectExtent l="0" t="0" r="0" b="0"/>
            <wp:docPr id="1112" name="Image1" descr="图5-1中山市环境空气质量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1" descr="图5-1中山市环境空气质量功能区划图"/>
                    <pic:cNvPicPr>
                      <a:picLocks noChangeAspect="1"/>
                    </pic:cNvPicPr>
                  </pic:nvPicPr>
                  <pic:blipFill>
                    <a:blip r:embed="rId25" cstate="print"/>
                    <a:srcRect/>
                    <a:stretch>
                      <a:fillRect/>
                    </a:stretch>
                  </pic:blipFill>
                  <pic:spPr>
                    <a:xfrm>
                      <a:off x="0" y="0"/>
                      <a:ext cx="5974715" cy="8590915"/>
                    </a:xfrm>
                    <a:prstGeom prst="rect">
                      <a:avLst/>
                    </a:prstGeom>
                    <a:ln>
                      <a:noFill/>
                    </a:ln>
                  </pic:spPr>
                </pic:pic>
              </a:graphicData>
            </a:graphic>
          </wp:inline>
        </w:drawing>
      </w:r>
      <w:r>
        <w:rPr>
          <w:color w:val="auto"/>
          <w:sz w:val="28"/>
          <w:szCs w:val="28"/>
          <w:highlight w:val="none"/>
        </w:rPr>
        <w:pict>
          <v:shape id="1113" o:spid="_x0000_s1038" o:spt="202" type="#_x0000_t202" style="position:absolute;left:0pt;margin-left:115.95pt;margin-top:683.4pt;height:34.95pt;width:242.85pt;z-index:251660288;mso-width-relative:page;mso-height-relative:page;" filled="f" stroked="f" coordsize="21600,21600">
            <v:path/>
            <v:fill on="f" focussize="0,0"/>
            <v:stroke on="f" weight="0.5pt"/>
            <v:imagedata o:title=""/>
            <o:lock v:ext="edit"/>
            <v:textbox>
              <w:txbxContent>
                <w:p w14:paraId="178B5650">
                  <w:pPr>
                    <w:rPr>
                      <w:b/>
                      <w:sz w:val="28"/>
                      <w:szCs w:val="28"/>
                    </w:rPr>
                  </w:pPr>
                  <w:r>
                    <w:rPr>
                      <w:rFonts w:hint="eastAsia"/>
                      <w:b/>
                      <w:sz w:val="28"/>
                      <w:szCs w:val="28"/>
                    </w:rPr>
                    <w:t>附图</w:t>
                  </w:r>
                  <w:r>
                    <w:rPr>
                      <w:rFonts w:hint="eastAsia"/>
                      <w:b/>
                      <w:sz w:val="28"/>
                      <w:szCs w:val="28"/>
                      <w:lang w:val="en-US" w:eastAsia="zh-CN"/>
                    </w:rPr>
                    <w:t>7</w:t>
                  </w:r>
                  <w:r>
                    <w:rPr>
                      <w:rFonts w:hint="eastAsia"/>
                      <w:b/>
                      <w:sz w:val="28"/>
                      <w:szCs w:val="28"/>
                    </w:rPr>
                    <w:t xml:space="preserve"> 建设项目大气</w:t>
                  </w:r>
                  <w:r>
                    <w:rPr>
                      <w:b/>
                      <w:sz w:val="28"/>
                      <w:szCs w:val="28"/>
                    </w:rPr>
                    <w:t>功能区划</w:t>
                  </w:r>
                  <w:r>
                    <w:rPr>
                      <w:rFonts w:hint="eastAsia"/>
                      <w:b/>
                      <w:sz w:val="28"/>
                      <w:szCs w:val="28"/>
                    </w:rPr>
                    <w:t>图</w:t>
                  </w:r>
                </w:p>
              </w:txbxContent>
            </v:textbox>
          </v:shape>
        </w:pict>
      </w:r>
    </w:p>
    <w:p w14:paraId="1356E611">
      <w:pPr>
        <w:tabs>
          <w:tab w:val="left" w:pos="840"/>
        </w:tabs>
        <w:rPr>
          <w:b/>
          <w:bCs/>
          <w:color w:val="auto"/>
          <w:sz w:val="24"/>
          <w:highlight w:val="none"/>
        </w:rPr>
        <w:sectPr>
          <w:pgSz w:w="11906" w:h="16838"/>
          <w:pgMar w:top="1417" w:right="1134" w:bottom="1406" w:left="1417" w:header="851" w:footer="567" w:gutter="0"/>
          <w:cols w:space="720" w:num="1"/>
          <w:rtlGutter w:val="0"/>
          <w:docGrid w:type="linesAndChars" w:linePitch="322" w:charSpace="535"/>
        </w:sectPr>
      </w:pPr>
      <w:r>
        <w:rPr>
          <w:b/>
          <w:color w:val="auto"/>
          <w:sz w:val="32"/>
          <w:highlight w:val="none"/>
        </w:rPr>
        <mc:AlternateContent>
          <mc:Choice Requires="wpg">
            <w:drawing>
              <wp:anchor distT="0" distB="0" distL="114300" distR="114300" simplePos="0" relativeHeight="251665408" behindDoc="0" locked="0" layoutInCell="1" allowOverlap="1">
                <wp:simplePos x="0" y="0"/>
                <wp:positionH relativeFrom="column">
                  <wp:posOffset>1903095</wp:posOffset>
                </wp:positionH>
                <wp:positionV relativeFrom="paragraph">
                  <wp:posOffset>2654935</wp:posOffset>
                </wp:positionV>
                <wp:extent cx="1110615" cy="630555"/>
                <wp:effectExtent l="18415" t="4445" r="13970" b="12700"/>
                <wp:wrapNone/>
                <wp:docPr id="30" name="1114"/>
                <wp:cNvGraphicFramePr/>
                <a:graphic xmlns:a="http://schemas.openxmlformats.org/drawingml/2006/main">
                  <a:graphicData uri="http://schemas.microsoft.com/office/word/2010/wordprocessingGroup">
                    <wpg:wgp>
                      <wpg:cNvGrpSpPr/>
                      <wpg:grpSpPr>
                        <a:xfrm>
                          <a:off x="0" y="0"/>
                          <a:ext cx="1110615" cy="630555"/>
                          <a:chOff x="5991" y="2948"/>
                          <a:chExt cx="1749" cy="883"/>
                        </a:xfrm>
                      </wpg:grpSpPr>
                      <wps:wsp>
                        <wps:cNvPr id="28" name="1115"/>
                        <wps:cNvSpPr/>
                        <wps:spPr>
                          <a:xfrm>
                            <a:off x="5991" y="3738"/>
                            <a:ext cx="143" cy="93"/>
                          </a:xfrm>
                          <a:prstGeom prst="star5">
                            <a:avLst/>
                          </a:prstGeom>
                          <a:solidFill>
                            <a:srgbClr val="000000"/>
                          </a:solidFill>
                          <a:ln w="9525" cap="flat" cmpd="sng">
                            <a:solidFill>
                              <a:srgbClr val="000000"/>
                            </a:solidFill>
                            <a:prstDash val="solid"/>
                            <a:miter/>
                            <a:headEnd type="none" w="med" len="med"/>
                            <a:tailEnd type="none" w="med" len="med"/>
                          </a:ln>
                        </wps:spPr>
                        <wps:bodyPr upright="1"/>
                      </wps:wsp>
                      <wps:wsp>
                        <wps:cNvPr id="29" name="1116"/>
                        <wps:cNvSpPr/>
                        <wps:spPr>
                          <a:xfrm>
                            <a:off x="6134" y="2948"/>
                            <a:ext cx="1606" cy="451"/>
                          </a:xfrm>
                          <a:prstGeom prst="wedgeRoundRectCallout">
                            <a:avLst>
                              <a:gd name="adj1" fmla="val -49625"/>
                              <a:gd name="adj2" fmla="val 117407"/>
                              <a:gd name="adj3" fmla="val 16667"/>
                            </a:avLst>
                          </a:prstGeom>
                          <a:solidFill>
                            <a:srgbClr val="FFFFFF"/>
                          </a:solidFill>
                          <a:ln w="6350" cap="flat" cmpd="sng">
                            <a:solidFill>
                              <a:srgbClr val="000000"/>
                            </a:solidFill>
                            <a:prstDash val="solid"/>
                            <a:miter/>
                            <a:headEnd type="none" w="med" len="med"/>
                            <a:tailEnd type="none" w="med" len="med"/>
                          </a:ln>
                        </wps:spPr>
                        <wps:txbx>
                          <w:txbxContent>
                            <w:p w14:paraId="5C42F168">
                              <w:pPr>
                                <w:rPr>
                                  <w:rFonts w:ascii="宋体" w:hAnsi="宋体"/>
                                </w:rPr>
                              </w:pPr>
                              <w:r>
                                <w:rPr>
                                  <w:rFonts w:hint="eastAsia" w:ascii="宋体" w:hAnsi="宋体"/>
                                  <w:szCs w:val="21"/>
                                </w:rPr>
                                <w:t>项目所在地</w:t>
                              </w:r>
                            </w:p>
                          </w:txbxContent>
                        </wps:txbx>
                        <wps:bodyPr upright="1"/>
                      </wps:wsp>
                    </wpg:wgp>
                  </a:graphicData>
                </a:graphic>
              </wp:anchor>
            </w:drawing>
          </mc:Choice>
          <mc:Fallback>
            <w:pict>
              <v:group id="1114" o:spid="_x0000_s1026" o:spt="203" style="position:absolute;left:0pt;margin-left:149.85pt;margin-top:209.05pt;height:49.65pt;width:87.45pt;z-index:251665408;mso-width-relative:page;mso-height-relative:page;" coordorigin="5991,2948" coordsize="1749,883" o:gfxdata="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uU+7mNwAAAALAQAADwAAAAAAAAABACAAAAAiAAAAZHJzL2Rvd25yZXYu&#10;eG1sUEsBAhQAFAAAAAgAh07iQNzN1ZjbAgAAFggAAA4AAAAAAAAAAQAgAAAAKwEAAGRycy9lMm9E&#10;b2MueG1sUEsFBgAAAAAGAAYAWQEAAHgGAAAAAA==&#10;">
                <o:lock v:ext="edit" aspectratio="f"/>
                <v:shape id="1115" o:spid="_x0000_s1026" style="position:absolute;left:5991;top:3738;height:93;width:143;" fillcolor="#000000" filled="t" stroked="t" coordsize="143,93" o:gfxdata="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m/njugAAANsA&#10;AAAPAAAAAAAAAAEAIAAAACIAAABkcnMvZG93bnJldi54bWxQSwECFAAUAAAACACHTuJAMy8FnjsA&#10;AAA5AAAAEAAAAAAAAAABACAAAAAJAQAAZHJzL3NoYXBleG1sLnhtbFBLBQYAAAAABgAGAFsBAACz&#10;AwAAAAA=&#10;" path="m0,35l54,35,71,0,88,35,142,35,98,57,115,92,71,71,27,92,44,57xe">
                  <v:path o:connectlocs="71,0;0,35;27,92;115,92;142,35" o:connectangles="247,164,82,82,0"/>
                  <v:fill on="t" focussize="0,0"/>
                  <v:stroke color="#000000" joinstyle="miter"/>
                  <v:imagedata o:title=""/>
                  <o:lock v:ext="edit" aspectratio="f"/>
                </v:shape>
                <v:shape id="1116" o:spid="_x0000_s1026" o:spt="62" type="#_x0000_t62" style="position:absolute;left:6134;top:2948;height:451;width:1606;" fillcolor="#FFFFFF" filled="t" stroked="t" coordsize="21600,21600" o:gfxdata="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q5WO8AAAA&#10;2wAAAA8AAAAAAAAAAQAgAAAAIgAAAGRycy9kb3ducmV2LnhtbFBLAQIUABQAAAAIAIdO4kAzLwWe&#10;OwAAADkAAAAQAAAAAAAAAAEAIAAAAAsBAABkcnMvc2hhcGV4bWwueG1sUEsFBgAAAAAGAAYAWwEA&#10;ALUDAAAAAA==&#10;" adj="81,36160,14400">
                  <v:fill on="t" focussize="0,0"/>
                  <v:stroke weight="0.5pt" color="#000000" joinstyle="miter"/>
                  <v:imagedata o:title=""/>
                  <o:lock v:ext="edit" aspectratio="f"/>
                  <v:textbox>
                    <w:txbxContent>
                      <w:p w14:paraId="5C42F168">
                        <w:pPr>
                          <w:rPr>
                            <w:rFonts w:ascii="宋体" w:hAnsi="宋体"/>
                          </w:rPr>
                        </w:pPr>
                        <w:r>
                          <w:rPr>
                            <w:rFonts w:hint="eastAsia" w:ascii="宋体" w:hAnsi="宋体"/>
                            <w:szCs w:val="21"/>
                          </w:rPr>
                          <w:t>项目所在地</w:t>
                        </w:r>
                      </w:p>
                    </w:txbxContent>
                  </v:textbox>
                </v:shape>
              </v:group>
            </w:pict>
          </mc:Fallback>
        </mc:AlternateContent>
      </w:r>
      <w:r>
        <w:rPr>
          <w:color w:val="auto"/>
        </w:rPr>
        <w:drawing>
          <wp:anchor distT="0" distB="0" distL="114300" distR="114300" simplePos="0" relativeHeight="251664384" behindDoc="0" locked="0" layoutInCell="1" allowOverlap="1">
            <wp:simplePos x="0" y="0"/>
            <wp:positionH relativeFrom="page">
              <wp:posOffset>560070</wp:posOffset>
            </wp:positionH>
            <wp:positionV relativeFrom="page">
              <wp:posOffset>2151380</wp:posOffset>
            </wp:positionV>
            <wp:extent cx="6336030" cy="6892925"/>
            <wp:effectExtent l="0" t="0" r="7620" b="3175"/>
            <wp:wrapNone/>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26"/>
                    <a:stretch>
                      <a:fillRect/>
                    </a:stretch>
                  </pic:blipFill>
                  <pic:spPr>
                    <a:xfrm>
                      <a:off x="0" y="0"/>
                      <a:ext cx="6336030" cy="6892925"/>
                    </a:xfrm>
                    <a:prstGeom prst="rect">
                      <a:avLst/>
                    </a:prstGeom>
                    <a:noFill/>
                    <a:ln>
                      <a:noFill/>
                    </a:ln>
                  </pic:spPr>
                </pic:pic>
              </a:graphicData>
            </a:graphic>
          </wp:anchor>
        </w:drawing>
      </w:r>
      <w:r>
        <w:rPr>
          <w:color w:val="auto"/>
          <w:sz w:val="28"/>
          <w:szCs w:val="28"/>
          <w:highlight w:val="none"/>
        </w:rPr>
        <w:pict>
          <v:shape id="1118" o:spid="_x0000_s1042" o:spt="202" type="#_x0000_t202" style="position:absolute;left:0pt;margin-left:119.35pt;margin-top:697.85pt;height:33.6pt;width:252.85pt;z-index:251660288;mso-width-relative:margin;mso-height-relative:margin;" filled="f" stroked="f" coordsize="21600,21600">
            <v:path/>
            <v:fill on="f" focussize="0,0"/>
            <v:stroke on="f"/>
            <v:imagedata o:title=""/>
            <o:lock v:ext="edit"/>
            <v:textbox>
              <w:txbxContent>
                <w:p w14:paraId="177AAD45">
                  <w:pPr>
                    <w:jc w:val="center"/>
                    <w:rPr>
                      <w:b/>
                      <w:sz w:val="28"/>
                      <w:szCs w:val="28"/>
                    </w:rPr>
                  </w:pPr>
                  <w:r>
                    <w:rPr>
                      <w:b/>
                      <w:sz w:val="28"/>
                      <w:szCs w:val="28"/>
                    </w:rPr>
                    <w:t>附图</w:t>
                  </w:r>
                  <w:r>
                    <w:rPr>
                      <w:rFonts w:hint="eastAsia"/>
                      <w:b/>
                      <w:sz w:val="28"/>
                      <w:szCs w:val="28"/>
                      <w:lang w:val="en-US" w:eastAsia="zh-CN"/>
                    </w:rPr>
                    <w:t>8</w:t>
                  </w:r>
                  <w:r>
                    <w:rPr>
                      <w:rFonts w:hint="eastAsia"/>
                      <w:b/>
                      <w:sz w:val="28"/>
                      <w:szCs w:val="28"/>
                    </w:rPr>
                    <w:t xml:space="preserve"> </w:t>
                  </w:r>
                  <w:r>
                    <w:rPr>
                      <w:b/>
                      <w:sz w:val="28"/>
                      <w:szCs w:val="28"/>
                    </w:rPr>
                    <w:t>建设项目声功能区划图</w:t>
                  </w:r>
                </w:p>
              </w:txbxContent>
            </v:textbox>
          </v:shape>
        </w:pict>
      </w:r>
    </w:p>
    <w:p w14:paraId="343CF8D5">
      <w:pPr>
        <w:pStyle w:val="26"/>
        <w:ind w:left="0" w:leftChars="0" w:firstLine="0" w:firstLineChars="0"/>
        <w:jc w:val="center"/>
        <w:rPr>
          <w:rFonts w:hint="default" w:ascii="Times New Roman" w:hAnsi="Times New Roman" w:eastAsia="宋体" w:cs="Times New Roman"/>
          <w:b/>
          <w:color w:val="auto"/>
          <w:sz w:val="28"/>
          <w:szCs w:val="28"/>
          <w:highlight w:val="none"/>
          <w:lang w:eastAsia="zh-CN"/>
        </w:rPr>
        <w:sectPr>
          <w:footerReference r:id="rId8" w:type="default"/>
          <w:pgSz w:w="16838" w:h="11906" w:orient="landscape"/>
          <w:pgMar w:top="1531" w:right="1701" w:bottom="1531" w:left="1701" w:header="851" w:footer="851" w:gutter="0"/>
          <w:cols w:space="720" w:num="1"/>
          <w:docGrid w:linePitch="312" w:charSpace="0"/>
        </w:sectPr>
      </w:pPr>
      <w:r>
        <w:rPr>
          <w:color w:val="auto"/>
          <w:sz w:val="28"/>
        </w:rPr>
        <mc:AlternateContent>
          <mc:Choice Requires="wps">
            <w:drawing>
              <wp:anchor distT="0" distB="0" distL="114300" distR="114300" simplePos="0" relativeHeight="251668480" behindDoc="0" locked="0" layoutInCell="1" allowOverlap="1">
                <wp:simplePos x="0" y="0"/>
                <wp:positionH relativeFrom="column">
                  <wp:posOffset>1802765</wp:posOffset>
                </wp:positionH>
                <wp:positionV relativeFrom="paragraph">
                  <wp:posOffset>894715</wp:posOffset>
                </wp:positionV>
                <wp:extent cx="76200" cy="76200"/>
                <wp:effectExtent l="23495" t="21590" r="37465" b="39370"/>
                <wp:wrapNone/>
                <wp:docPr id="33" name="五角星 33"/>
                <wp:cNvGraphicFramePr/>
                <a:graphic xmlns:a="http://schemas.openxmlformats.org/drawingml/2006/main">
                  <a:graphicData uri="http://schemas.microsoft.com/office/word/2010/wordprocessingShape">
                    <wps:wsp>
                      <wps:cNvSpPr/>
                      <wps:spPr>
                        <a:xfrm flipV="1">
                          <a:off x="0" y="0"/>
                          <a:ext cx="76200" cy="76200"/>
                        </a:xfrm>
                        <a:prstGeom prst="star5">
                          <a:avLst/>
                        </a:prstGeom>
                        <a:solidFill>
                          <a:srgbClr val="FF0000"/>
                        </a:solidFill>
                        <a:ln w="15875" cap="flat" cmpd="sng">
                          <a:solidFill>
                            <a:srgbClr val="FF0000"/>
                          </a:solidFill>
                          <a:prstDash val="solid"/>
                          <a:miter/>
                          <a:headEnd type="none" w="med" len="med"/>
                          <a:tailEnd type="none" w="med" len="med"/>
                        </a:ln>
                      </wps:spPr>
                      <wps:txbx>
                        <w:txbxContent>
                          <w:p w14:paraId="33BBD943"/>
                        </w:txbxContent>
                      </wps:txbx>
                      <wps:bodyPr upright="1"/>
                    </wps:wsp>
                  </a:graphicData>
                </a:graphic>
              </wp:anchor>
            </w:drawing>
          </mc:Choice>
          <mc:Fallback>
            <w:pict>
              <v:shape id="_x0000_s1026" o:spid="_x0000_s1026" style="position:absolute;left:0pt;flip:y;margin-left:141.95pt;margin-top:70.45pt;height:6pt;width:6pt;z-index:251668480;mso-width-relative:page;mso-height-relative:page;" fillcolor="#FF0000" filled="t" stroked="t" coordsize="76200,76200" o:gfxdata="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tLMzbXAAAACwEAAA8AAAAAAAAAAQAgAAAAIgAA&#10;AGRycy9kb3ducmV2LnhtbFBLAQIUABQAAAAIAIdO4kAsLlyoCQIAADcEAAAOAAAAAAAAAAEAIAAA&#10;ACYBAABkcnMvZTJvRG9jLnhtbFBLBQYAAAAABgAGAFkBAAChBQAAAAA=&#10;" path="m0,29105l29105,29105,38100,0,47094,29105,76199,29105,52652,47093,61647,76199,38100,58211,14552,76199,23547,47093xe">
                <v:path textboxrect="0,0,76200,76200" o:connectlocs="38100,0;0,29105;14552,76199;61647,76199;76199,29105" o:connectangles="247,164,82,82,0"/>
                <v:fill on="t" focussize="0,0"/>
                <v:stroke weight="1.25pt" color="#FF0000" joinstyle="miter"/>
                <v:imagedata o:title=""/>
                <o:lock v:ext="edit" aspectratio="f"/>
                <v:textbox>
                  <w:txbxContent>
                    <w:p w14:paraId="33BBD943"/>
                  </w:txbxContent>
                </v:textbox>
              </v:shape>
            </w:pict>
          </mc:Fallback>
        </mc:AlternateContent>
      </w:r>
      <w:r>
        <w:rPr>
          <w:color w:val="auto"/>
          <w:sz w:val="28"/>
        </w:rPr>
        <mc:AlternateContent>
          <mc:Choice Requires="wps">
            <w:drawing>
              <wp:anchor distT="0" distB="0" distL="114300" distR="114300" simplePos="0" relativeHeight="251669504" behindDoc="0" locked="0" layoutInCell="1" allowOverlap="1">
                <wp:simplePos x="0" y="0"/>
                <wp:positionH relativeFrom="column">
                  <wp:posOffset>1903095</wp:posOffset>
                </wp:positionH>
                <wp:positionV relativeFrom="paragraph">
                  <wp:posOffset>978535</wp:posOffset>
                </wp:positionV>
                <wp:extent cx="855345" cy="584200"/>
                <wp:effectExtent l="4445" t="6350" r="8890" b="3810"/>
                <wp:wrapNone/>
                <wp:docPr id="23" name="直接连接符 23"/>
                <wp:cNvGraphicFramePr/>
                <a:graphic xmlns:a="http://schemas.openxmlformats.org/drawingml/2006/main">
                  <a:graphicData uri="http://schemas.microsoft.com/office/word/2010/wordprocessingShape">
                    <wps:wsp>
                      <wps:cNvCnPr/>
                      <wps:spPr>
                        <a:xfrm>
                          <a:off x="0" y="0"/>
                          <a:ext cx="855345" cy="584200"/>
                        </a:xfrm>
                        <a:prstGeom prst="line">
                          <a:avLst/>
                        </a:prstGeom>
                        <a:ln w="158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149.85pt;margin-top:77.05pt;height:46pt;width:67.35pt;z-index:251669504;mso-width-relative:page;mso-height-relative:page;" filled="f" stroked="t" coordsize="21600,21600" o:gfxdata="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rvG/9sAAAALAQAADwAAAAAAAAABACAAAAAiAAAAZHJzL2Rv&#10;d25yZXYueG1sUEsBAhQAFAAAAAgAh07iQLLk9DP+AQAA7AMAAA4AAAAAAAAAAQAgAAAAKgEAAGRy&#10;cy9lMm9Eb2MueG1sUEsFBgAAAAAGAAYAWQEAAJoFAAAAAA==&#10;">
                <v:fill on="f" focussize="0,0"/>
                <v:stroke weight="1.25pt" color="#000000" joinstyle="round" endarrow="open"/>
                <v:imagedata o:title=""/>
                <o:lock v:ext="edit" aspectratio="f"/>
              </v:line>
            </w:pict>
          </mc:Fallback>
        </mc:AlternateContent>
      </w:r>
      <w:r>
        <w:rPr>
          <w:rFonts w:hint="default" w:ascii="Times New Roman" w:hAnsi="Times New Roman" w:cs="Times New Roman"/>
          <w:b/>
          <w:color w:val="auto"/>
          <w:sz w:val="32"/>
          <w:highlight w:val="none"/>
        </w:rPr>
        <mc:AlternateContent>
          <mc:Choice Requires="wpg">
            <w:drawing>
              <wp:anchor distT="0" distB="0" distL="114300" distR="114300" simplePos="0" relativeHeight="251671552" behindDoc="0" locked="0" layoutInCell="1" allowOverlap="1">
                <wp:simplePos x="0" y="0"/>
                <wp:positionH relativeFrom="column">
                  <wp:posOffset>3794760</wp:posOffset>
                </wp:positionH>
                <wp:positionV relativeFrom="paragraph">
                  <wp:posOffset>1244600</wp:posOffset>
                </wp:positionV>
                <wp:extent cx="1126490" cy="709295"/>
                <wp:effectExtent l="16510" t="4445" r="15240" b="17780"/>
                <wp:wrapNone/>
                <wp:docPr id="21" name="组合 21"/>
                <wp:cNvGraphicFramePr/>
                <a:graphic xmlns:a="http://schemas.openxmlformats.org/drawingml/2006/main">
                  <a:graphicData uri="http://schemas.microsoft.com/office/word/2010/wordprocessingGroup">
                    <wpg:wgp>
                      <wpg:cNvGrpSpPr/>
                      <wpg:grpSpPr>
                        <a:xfrm>
                          <a:off x="0" y="0"/>
                          <a:ext cx="1126490" cy="709295"/>
                          <a:chOff x="5991" y="2948"/>
                          <a:chExt cx="1749" cy="883"/>
                        </a:xfrm>
                      </wpg:grpSpPr>
                      <wps:wsp>
                        <wps:cNvPr id="5" name="五角星 5"/>
                        <wps:cNvSpPr/>
                        <wps:spPr>
                          <a:xfrm>
                            <a:off x="5991" y="3738"/>
                            <a:ext cx="143" cy="93"/>
                          </a:xfrm>
                          <a:prstGeom prst="star5">
                            <a:avLst/>
                          </a:prstGeom>
                          <a:pattFill prst="ltDnDiag">
                            <a:fgClr>
                              <a:srgbClr val="000000"/>
                            </a:fgClr>
                            <a:bgClr>
                              <a:srgbClr val="000000"/>
                            </a:bgClr>
                          </a:pattFill>
                          <a:ln w="9525" cap="flat" cmpd="sng">
                            <a:solidFill>
                              <a:srgbClr val="000000"/>
                            </a:solidFill>
                            <a:prstDash val="solid"/>
                            <a:miter/>
                            <a:headEnd type="none" w="med" len="med"/>
                            <a:tailEnd type="none" w="med" len="med"/>
                          </a:ln>
                        </wps:spPr>
                        <wps:bodyPr upright="1"/>
                      </wps:wsp>
                      <wps:wsp>
                        <wps:cNvPr id="6" name="圆角矩形标注 6"/>
                        <wps:cNvSpPr/>
                        <wps:spPr>
                          <a:xfrm>
                            <a:off x="6134" y="2948"/>
                            <a:ext cx="1606" cy="451"/>
                          </a:xfrm>
                          <a:prstGeom prst="wedgeRoundRectCallout">
                            <a:avLst>
                              <a:gd name="adj1" fmla="val -49625"/>
                              <a:gd name="adj2" fmla="val 117407"/>
                              <a:gd name="adj3" fmla="val 16667"/>
                            </a:avLst>
                          </a:prstGeom>
                          <a:pattFill prst="ltDnDiag">
                            <a:fgClr>
                              <a:srgbClr val="FFFFFF">
                                <a:alpha val="39999"/>
                              </a:srgbClr>
                            </a:fgClr>
                            <a:bgClr>
                              <a:srgbClr val="FFFFFF">
                                <a:alpha val="39999"/>
                              </a:srgbClr>
                            </a:bgClr>
                          </a:pattFill>
                          <a:ln w="6350" cap="flat" cmpd="sng">
                            <a:solidFill>
                              <a:srgbClr val="000000"/>
                            </a:solidFill>
                            <a:prstDash val="solid"/>
                            <a:miter/>
                            <a:headEnd type="none" w="med" len="med"/>
                            <a:tailEnd type="none" w="med" len="med"/>
                          </a:ln>
                        </wps:spPr>
                        <wps:txbx>
                          <w:txbxContent>
                            <w:p w14:paraId="54B31323">
                              <w:pPr>
                                <w:rPr>
                                  <w:rFonts w:ascii="宋体" w:hAnsi="宋体"/>
                                </w:rPr>
                              </w:pPr>
                              <w:r>
                                <w:rPr>
                                  <w:rFonts w:hint="eastAsia" w:ascii="宋体" w:hAnsi="宋体"/>
                                  <w:szCs w:val="21"/>
                                </w:rPr>
                                <w:t>项目所在地</w:t>
                              </w:r>
                            </w:p>
                          </w:txbxContent>
                        </wps:txbx>
                        <wps:bodyPr upright="1"/>
                      </wps:wsp>
                    </wpg:wgp>
                  </a:graphicData>
                </a:graphic>
              </wp:anchor>
            </w:drawing>
          </mc:Choice>
          <mc:Fallback>
            <w:pict>
              <v:group id="_x0000_s1026" o:spid="_x0000_s1026" o:spt="203" style="position:absolute;left:0pt;margin-left:298.8pt;margin-top:98pt;height:55.85pt;width:88.7pt;z-index:251671552;mso-width-relative:page;mso-height-relative:page;" coordorigin="5991,2948" coordsize="1749,883" o:gfxdata="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MfAwSfbAAAACwEAAA8AAAAAAAAAAQAgAAAAIgAAAGRycy9kb3ducmV2LnhtbFBLAQIU&#10;ABQAAAAIAIdO4kDzsAn4RgMAAAwJAAAOAAAAAAAAAAEAIAAAACoBAABkcnMvZTJvRG9jLnhtbFBL&#10;BQYAAAAABgAGAFkBAADiBgAAAAA=&#10;">
                <o:lock v:ext="edit" aspectratio="f"/>
                <v:shape id="_x0000_s1026" o:spid="_x0000_s1026" style="position:absolute;left:5991;top:3738;height:93;width:143;" fillcolor="#000000" filled="t" stroked="t" coordsize="143,93" o:gfxdata="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fC2btwAAANoAAAAP&#10;AAAAAAAAAAEAIAAAACIAAABkcnMvZG93bnJldi54bWxQSwECFAAUAAAACACHTuJAMy8FnjsAAAA5&#10;AAAAEAAAAAAAAAABACAAAAAGAQAAZHJzL3NoYXBleG1sLnhtbFBLBQYAAAAABgAGAFsBAACwAwAA&#10;AAA=&#10;" path="m0,35l54,35,71,0,88,35,142,35,98,57,115,92,71,71,27,92,44,57xe">
                  <v:path o:connectlocs="71,0;0,35;27,92;115,92;142,35" o:connectangles="247,164,82,82,0"/>
                  <v:fill type="pattern" on="t" color2="#000000" o:title="浅色下对角线" focussize="0,0" r:id="rId27"/>
                  <v:stroke color="#000000" joinstyle="miter"/>
                  <v:imagedata o:title=""/>
                  <o:lock v:ext="edit" aspectratio="f"/>
                </v:shape>
                <v:shape id="_x0000_s1026" o:spid="_x0000_s1026" o:spt="62" type="#_x0000_t62" style="position:absolute;left:6134;top:2948;height:451;width:1606;" fillcolor="#FFFFFF" filled="t" stroked="t" coordsize="21600,21600" o:gfxdata="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SpjS8AAAA&#10;2gAAAA8AAAAAAAAAAQAgAAAAIgAAAGRycy9kb3ducmV2LnhtbFBLAQIUABQAAAAIAIdO4kAzLwWe&#10;OwAAADkAAAAQAAAAAAAAAAEAIAAAAAsBAABkcnMvc2hhcGV4bWwueG1sUEsFBgAAAAAGAAYAWwEA&#10;ALUDAAAAAA==&#10;" adj="81,36160,14400">
                  <v:fill type="pattern" on="t" color2="#FFFFFF" opacity="26213f" o:opacity2="26213f" o:title="浅色下对角线" focussize="0,0" r:id="rId27"/>
                  <v:stroke weight="0.5pt" color="#000000" joinstyle="miter"/>
                  <v:imagedata o:title=""/>
                  <o:lock v:ext="edit" aspectratio="f"/>
                  <v:textbox>
                    <w:txbxContent>
                      <w:p w14:paraId="54B31323">
                        <w:pPr>
                          <w:rPr>
                            <w:rFonts w:ascii="宋体" w:hAnsi="宋体"/>
                          </w:rPr>
                        </w:pPr>
                        <w:r>
                          <w:rPr>
                            <w:rFonts w:hint="eastAsia" w:ascii="宋体" w:hAnsi="宋体"/>
                            <w:szCs w:val="21"/>
                          </w:rPr>
                          <w:t>项目所在地</w:t>
                        </w:r>
                      </w:p>
                    </w:txbxContent>
                  </v:textbox>
                </v:shape>
              </v:group>
            </w:pict>
          </mc:Fallback>
        </mc:AlternateContent>
      </w:r>
      <w:r>
        <w:rPr>
          <w:rFonts w:hint="default" w:ascii="Times New Roman" w:hAnsi="Times New Roman" w:eastAsia="宋体" w:cs="Times New Roman"/>
          <w:b/>
          <w:color w:val="auto"/>
          <w:sz w:val="32"/>
          <w:highlight w:val="none"/>
        </w:rPr>
        <w:drawing>
          <wp:anchor distT="0" distB="0" distL="114300" distR="114300" simplePos="0" relativeHeight="251667456" behindDoc="0" locked="0" layoutInCell="1" allowOverlap="1">
            <wp:simplePos x="0" y="0"/>
            <wp:positionH relativeFrom="column">
              <wp:posOffset>-215900</wp:posOffset>
            </wp:positionH>
            <wp:positionV relativeFrom="paragraph">
              <wp:posOffset>-287655</wp:posOffset>
            </wp:positionV>
            <wp:extent cx="8039100" cy="5687060"/>
            <wp:effectExtent l="0" t="0" r="7620" b="12700"/>
            <wp:wrapNone/>
            <wp:docPr id="32" name="图片 22" descr="722a975559afdbd702dcf4168d0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descr="722a975559afdbd702dcf4168d05820"/>
                    <pic:cNvPicPr>
                      <a:picLocks noChangeAspect="1"/>
                    </pic:cNvPicPr>
                  </pic:nvPicPr>
                  <pic:blipFill>
                    <a:blip r:embed="rId28"/>
                    <a:stretch>
                      <a:fillRect/>
                    </a:stretch>
                  </pic:blipFill>
                  <pic:spPr>
                    <a:xfrm>
                      <a:off x="0" y="0"/>
                      <a:ext cx="8039100" cy="5687060"/>
                    </a:xfrm>
                    <a:prstGeom prst="rect">
                      <a:avLst/>
                    </a:prstGeom>
                    <a:noFill/>
                    <a:ln>
                      <a:noFill/>
                    </a:ln>
                  </pic:spPr>
                </pic:pic>
              </a:graphicData>
            </a:graphic>
          </wp:anchor>
        </w:drawing>
      </w:r>
      <w:r>
        <w:drawing>
          <wp:anchor distT="0" distB="0" distL="114300" distR="114300" simplePos="0" relativeHeight="251670528" behindDoc="0" locked="0" layoutInCell="1" allowOverlap="1">
            <wp:simplePos x="0" y="0"/>
            <wp:positionH relativeFrom="column">
              <wp:posOffset>2841625</wp:posOffset>
            </wp:positionH>
            <wp:positionV relativeFrom="paragraph">
              <wp:posOffset>1379220</wp:posOffset>
            </wp:positionV>
            <wp:extent cx="1563370" cy="1495425"/>
            <wp:effectExtent l="9525" t="9525" r="12065" b="19050"/>
            <wp:wrapNone/>
            <wp:docPr id="1" name="图片 26" descr="D:/环评2/1734853925371.jpg173485392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6" descr="D:/环评2/1734853925371.jpg1734853925371"/>
                    <pic:cNvPicPr>
                      <a:picLocks noChangeAspect="1"/>
                    </pic:cNvPicPr>
                  </pic:nvPicPr>
                  <pic:blipFill>
                    <a:blip r:embed="rId29"/>
                    <a:srcRect t="609" b="609"/>
                    <a:stretch>
                      <a:fillRect/>
                    </a:stretch>
                  </pic:blipFill>
                  <pic:spPr>
                    <a:xfrm>
                      <a:off x="0" y="0"/>
                      <a:ext cx="1563370" cy="1495425"/>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8"/>
          <w:szCs w:val="28"/>
          <w:highlight w:val="none"/>
        </w:rPr>
        <w:pict>
          <v:shape id="1126" o:spid="_x0000_s1043" o:spt="202" type="#_x0000_t202" style="position:absolute;left:0pt;margin-left:221.35pt;margin-top:426.2pt;height:33.6pt;width:252.85pt;z-index:251660288;mso-width-relative:margin;mso-height-relative:margin;" filled="f" stroked="f" coordsize="21600,21600">
            <v:path/>
            <v:fill on="f" focussize="0,0"/>
            <v:stroke on="f"/>
            <v:imagedata o:title=""/>
            <o:lock v:ext="edit"/>
            <v:textbox>
              <w:txbxContent>
                <w:p w14:paraId="4639A9FD">
                  <w:pPr>
                    <w:jc w:val="center"/>
                    <w:rPr>
                      <w:b/>
                      <w:sz w:val="28"/>
                      <w:szCs w:val="28"/>
                    </w:rPr>
                  </w:pPr>
                  <w:r>
                    <w:rPr>
                      <w:b/>
                      <w:sz w:val="28"/>
                      <w:szCs w:val="28"/>
                    </w:rPr>
                    <w:t>附图</w:t>
                  </w:r>
                  <w:r>
                    <w:rPr>
                      <w:rFonts w:hint="eastAsia"/>
                      <w:b/>
                      <w:sz w:val="28"/>
                      <w:szCs w:val="28"/>
                      <w:lang w:val="en-US" w:eastAsia="zh-CN"/>
                    </w:rPr>
                    <w:t>9</w:t>
                  </w:r>
                  <w:r>
                    <w:rPr>
                      <w:rFonts w:hint="eastAsia"/>
                      <w:b/>
                      <w:sz w:val="28"/>
                      <w:szCs w:val="28"/>
                    </w:rPr>
                    <w:t xml:space="preserve"> </w:t>
                  </w:r>
                  <w:r>
                    <w:rPr>
                      <w:b/>
                      <w:sz w:val="28"/>
                      <w:szCs w:val="28"/>
                    </w:rPr>
                    <w:t>建设项目</w:t>
                  </w:r>
                  <w:r>
                    <w:rPr>
                      <w:rFonts w:hint="eastAsia"/>
                      <w:b/>
                      <w:sz w:val="28"/>
                      <w:szCs w:val="28"/>
                      <w:lang w:val="en-US" w:eastAsia="zh-CN"/>
                    </w:rPr>
                    <w:t>管控单元图</w:t>
                  </w:r>
                </w:p>
              </w:txbxContent>
            </v:textbox>
          </v:shape>
        </w:pict>
      </w:r>
    </w:p>
    <w:p w14:paraId="77105D61">
      <w:pPr>
        <w:rPr>
          <w:rFonts w:hint="eastAsia" w:ascii="宋体" w:hAnsi="宋体"/>
          <w:b/>
          <w:color w:val="auto"/>
          <w:sz w:val="28"/>
          <w:szCs w:val="28"/>
          <w:highlight w:val="none"/>
          <w:lang w:val="en-US" w:eastAsia="zh-CN"/>
        </w:rPr>
      </w:pPr>
      <w:r>
        <w:rPr>
          <w:rFonts w:hint="eastAsia" w:ascii="宋体" w:hAnsi="宋体"/>
          <w:b/>
          <w:color w:val="auto"/>
          <w:sz w:val="28"/>
          <w:szCs w:val="28"/>
          <w:highlight w:val="none"/>
          <w:lang w:val="en-US" w:eastAsia="zh-CN"/>
        </w:rPr>
        <w:t>附件1</w:t>
      </w:r>
      <w:r>
        <w:rPr>
          <w:rFonts w:hint="eastAsia" w:ascii="宋体" w:hAnsi="宋体"/>
          <w:b/>
          <w:color w:val="auto"/>
          <w:sz w:val="28"/>
          <w:szCs w:val="28"/>
          <w:highlight w:val="none"/>
          <w:lang w:eastAsia="zh-CN"/>
        </w:rPr>
        <w:t>：</w:t>
      </w:r>
      <w:r>
        <w:rPr>
          <w:rFonts w:hint="default" w:ascii="Times New Roman" w:hAnsi="Times New Roman" w:eastAsia="宋体" w:cs="Times New Roman"/>
          <w:b/>
          <w:color w:val="auto"/>
          <w:kern w:val="2"/>
          <w:sz w:val="28"/>
          <w:szCs w:val="28"/>
          <w:highlight w:val="none"/>
          <w:lang w:val="en-US" w:eastAsia="zh-CN" w:bidi="ar-SA"/>
        </w:rPr>
        <w:t>大气引用监测数据</w:t>
      </w:r>
    </w:p>
    <w:p w14:paraId="7984EF0F">
      <w:pPr>
        <w:pStyle w:val="26"/>
        <w:ind w:left="0" w:leftChars="0" w:firstLine="0" w:firstLineChars="0"/>
        <w:jc w:val="center"/>
        <w:rPr>
          <w:rFonts w:hint="default"/>
          <w:b/>
          <w:bCs/>
          <w:color w:val="auto"/>
          <w:highlight w:val="none"/>
          <w:lang w:val="en-US" w:eastAsia="zh-CN"/>
        </w:rPr>
      </w:pPr>
      <w:r>
        <w:rPr>
          <w:rFonts w:hint="default" w:ascii="Times New Roman" w:hAnsi="Times New Roman" w:cs="Times New Roman"/>
          <w:color w:val="000000"/>
          <w:highlight w:val="none"/>
        </w:rPr>
        <w:drawing>
          <wp:inline distT="0" distB="0" distL="114300" distR="114300">
            <wp:extent cx="5563870" cy="7820660"/>
            <wp:effectExtent l="0" t="0" r="17780" b="889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30"/>
                    <a:stretch>
                      <a:fillRect/>
                    </a:stretch>
                  </pic:blipFill>
                  <pic:spPr>
                    <a:xfrm>
                      <a:off x="0" y="0"/>
                      <a:ext cx="5563870" cy="7820660"/>
                    </a:xfrm>
                    <a:prstGeom prst="rect">
                      <a:avLst/>
                    </a:prstGeom>
                    <a:noFill/>
                    <a:ln>
                      <a:noFill/>
                    </a:ln>
                  </pic:spPr>
                </pic:pic>
              </a:graphicData>
            </a:graphic>
          </wp:inline>
        </w:drawing>
      </w:r>
      <w:r>
        <w:rPr>
          <w:rFonts w:hint="default"/>
          <w:b/>
          <w:bCs/>
          <w:color w:val="auto"/>
          <w:highlight w:val="none"/>
          <w:lang w:val="en-US" w:eastAsia="zh-CN"/>
        </w:rPr>
        <w:br w:type="page"/>
      </w:r>
    </w:p>
    <w:p w14:paraId="00749FE0">
      <w:pPr>
        <w:pStyle w:val="26"/>
        <w:ind w:left="0" w:leftChars="0"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drawing>
          <wp:inline distT="0" distB="0" distL="114300" distR="114300">
            <wp:extent cx="5914390" cy="8191500"/>
            <wp:effectExtent l="0" t="0" r="10160" b="0"/>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31"/>
                    <a:stretch>
                      <a:fillRect/>
                    </a:stretch>
                  </pic:blipFill>
                  <pic:spPr>
                    <a:xfrm>
                      <a:off x="0" y="0"/>
                      <a:ext cx="5914390" cy="8191500"/>
                    </a:xfrm>
                    <a:prstGeom prst="rect">
                      <a:avLst/>
                    </a:prstGeom>
                    <a:noFill/>
                    <a:ln>
                      <a:noFill/>
                    </a:ln>
                  </pic:spPr>
                </pic:pic>
              </a:graphicData>
            </a:graphic>
          </wp:inline>
        </w:drawing>
      </w:r>
    </w:p>
    <w:p w14:paraId="7B6819D8">
      <w:pPr>
        <w:pStyle w:val="26"/>
        <w:ind w:left="0" w:leftChars="0"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br w:type="page"/>
      </w:r>
      <w:r>
        <w:rPr>
          <w:rFonts w:hint="default" w:ascii="Times New Roman" w:hAnsi="Times New Roman" w:cs="Times New Roman"/>
          <w:color w:val="000000"/>
          <w:highlight w:val="none"/>
        </w:rPr>
        <w:drawing>
          <wp:inline distT="0" distB="0" distL="114300" distR="114300">
            <wp:extent cx="5721985" cy="7825740"/>
            <wp:effectExtent l="0" t="0" r="12065" b="3810"/>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32"/>
                    <a:stretch>
                      <a:fillRect/>
                    </a:stretch>
                  </pic:blipFill>
                  <pic:spPr>
                    <a:xfrm>
                      <a:off x="0" y="0"/>
                      <a:ext cx="5721985" cy="7825740"/>
                    </a:xfrm>
                    <a:prstGeom prst="rect">
                      <a:avLst/>
                    </a:prstGeom>
                    <a:noFill/>
                    <a:ln>
                      <a:noFill/>
                    </a:ln>
                  </pic:spPr>
                </pic:pic>
              </a:graphicData>
            </a:graphic>
          </wp:inline>
        </w:drawing>
      </w:r>
    </w:p>
    <w:p w14:paraId="4D8A0F6B">
      <w:pPr>
        <w:pStyle w:val="26"/>
        <w:ind w:left="0" w:leftChars="0" w:firstLine="0" w:firstLineChars="0"/>
        <w:jc w:val="center"/>
        <w:rPr>
          <w:rFonts w:hint="default" w:ascii="Times New Roman" w:hAnsi="Times New Roman" w:cs="Times New Roman"/>
          <w:color w:val="000000"/>
          <w:highlight w:val="none"/>
        </w:rPr>
      </w:pPr>
      <w:r>
        <w:rPr>
          <w:rFonts w:hint="default" w:ascii="Times New Roman" w:hAnsi="Times New Roman" w:cs="Times New Roman"/>
          <w:color w:val="000000"/>
          <w:highlight w:val="none"/>
        </w:rPr>
        <w:br w:type="page"/>
      </w:r>
      <w:r>
        <w:rPr>
          <w:rFonts w:hint="default" w:ascii="Times New Roman" w:hAnsi="Times New Roman" w:cs="Times New Roman"/>
          <w:color w:val="000000"/>
          <w:highlight w:val="none"/>
        </w:rPr>
        <w:drawing>
          <wp:inline distT="0" distB="0" distL="114300" distR="114300">
            <wp:extent cx="5758815" cy="8112125"/>
            <wp:effectExtent l="0" t="0" r="13335" b="3175"/>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33"/>
                    <a:stretch>
                      <a:fillRect/>
                    </a:stretch>
                  </pic:blipFill>
                  <pic:spPr>
                    <a:xfrm>
                      <a:off x="0" y="0"/>
                      <a:ext cx="5758815" cy="8112125"/>
                    </a:xfrm>
                    <a:prstGeom prst="rect">
                      <a:avLst/>
                    </a:prstGeom>
                    <a:noFill/>
                    <a:ln>
                      <a:noFill/>
                    </a:ln>
                  </pic:spPr>
                </pic:pic>
              </a:graphicData>
            </a:graphic>
          </wp:inline>
        </w:drawing>
      </w:r>
    </w:p>
    <w:p w14:paraId="2D95554F">
      <w:pPr>
        <w:pStyle w:val="26"/>
        <w:ind w:left="0" w:leftChars="0" w:firstLine="0" w:firstLineChars="0"/>
        <w:jc w:val="center"/>
        <w:rPr>
          <w:rFonts w:hint="default"/>
          <w:b/>
          <w:bCs/>
          <w:color w:val="auto"/>
          <w:highlight w:val="none"/>
          <w:lang w:val="en-US" w:eastAsia="zh-CN"/>
        </w:rPr>
        <w:sectPr>
          <w:pgSz w:w="11906" w:h="16838"/>
          <w:pgMar w:top="1440" w:right="1083" w:bottom="1440" w:left="1083" w:header="851" w:footer="992" w:gutter="0"/>
          <w:cols w:space="0" w:num="1"/>
          <w:rtlGutter w:val="0"/>
          <w:docGrid w:type="lines" w:linePitch="442" w:charSpace="0"/>
        </w:sectPr>
      </w:pPr>
      <w:r>
        <w:rPr>
          <w:rFonts w:hint="default" w:ascii="Times New Roman" w:hAnsi="Times New Roman" w:cs="Times New Roman"/>
          <w:color w:val="000000"/>
          <w:highlight w:val="none"/>
        </w:rPr>
        <w:br w:type="page"/>
      </w:r>
      <w:r>
        <w:rPr>
          <w:rFonts w:hint="default" w:ascii="Times New Roman" w:hAnsi="Times New Roman" w:cs="Times New Roman"/>
          <w:color w:val="000000"/>
          <w:highlight w:val="none"/>
        </w:rPr>
        <w:drawing>
          <wp:inline distT="0" distB="0" distL="114300" distR="114300">
            <wp:extent cx="6187440" cy="8752205"/>
            <wp:effectExtent l="0" t="0" r="3810" b="10795"/>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34"/>
                    <a:stretch>
                      <a:fillRect/>
                    </a:stretch>
                  </pic:blipFill>
                  <pic:spPr>
                    <a:xfrm>
                      <a:off x="0" y="0"/>
                      <a:ext cx="6187440" cy="8752205"/>
                    </a:xfrm>
                    <a:prstGeom prst="rect">
                      <a:avLst/>
                    </a:prstGeom>
                    <a:noFill/>
                    <a:ln>
                      <a:noFill/>
                    </a:ln>
                  </pic:spPr>
                </pic:pic>
              </a:graphicData>
            </a:graphic>
          </wp:inline>
        </w:drawing>
      </w:r>
    </w:p>
    <w:p w14:paraId="28767F65">
      <w:pPr>
        <w:keepNext w:val="0"/>
        <w:keepLines w:val="0"/>
        <w:pageBreakBefore w:val="0"/>
        <w:widowControl w:val="0"/>
        <w:kinsoku/>
        <w:wordWrap/>
        <w:overflowPunct/>
        <w:topLinePunct w:val="0"/>
        <w:autoSpaceDE/>
        <w:autoSpaceDN/>
        <w:bidi w:val="0"/>
        <w:adjustRightInd/>
        <w:snapToGrid/>
        <w:textAlignment w:val="auto"/>
        <w:outlineLvl w:val="0"/>
        <w:rPr>
          <w:color w:val="auto"/>
          <w:highlight w:val="none"/>
        </w:rPr>
      </w:pPr>
      <w:r>
        <w:rPr>
          <w:rFonts w:hint="default" w:ascii="Times New Roman" w:hAnsi="Times New Roman" w:eastAsia="宋体" w:cs="Times New Roman"/>
          <w:b/>
          <w:color w:val="000000"/>
          <w:sz w:val="28"/>
          <w:szCs w:val="28"/>
          <w:highlight w:val="none"/>
          <w:lang w:val="en-US" w:eastAsia="zh-CN"/>
        </w:rPr>
        <w:t>附件2 项目噪声现状监测报告</w:t>
      </w:r>
    </w:p>
    <w:p w14:paraId="5AA6B558">
      <w:pPr>
        <w:pStyle w:val="26"/>
        <w:ind w:left="0" w:leftChars="0" w:firstLine="0" w:firstLineChars="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8106410" cy="5730240"/>
            <wp:effectExtent l="0" t="0" r="3810" b="8890"/>
            <wp:docPr id="56" name="图片 56" descr="顺楷JQC-HJ-R241227075 JQCHS24120042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顺楷JQC-HJ-R241227075 JQCHS24120042_页面_1"/>
                    <pic:cNvPicPr>
                      <a:picLocks noChangeAspect="1"/>
                    </pic:cNvPicPr>
                  </pic:nvPicPr>
                  <pic:blipFill>
                    <a:blip r:embed="rId35"/>
                    <a:stretch>
                      <a:fillRect/>
                    </a:stretch>
                  </pic:blipFill>
                  <pic:spPr>
                    <a:xfrm rot="16200000">
                      <a:off x="0" y="0"/>
                      <a:ext cx="8106410" cy="5730240"/>
                    </a:xfrm>
                    <a:prstGeom prst="rect">
                      <a:avLst/>
                    </a:prstGeom>
                  </pic:spPr>
                </pic:pic>
              </a:graphicData>
            </a:graphic>
          </wp:inline>
        </w:drawing>
      </w:r>
    </w:p>
    <w:p w14:paraId="3F30F945">
      <w:pPr>
        <w:pStyle w:val="26"/>
        <w:ind w:left="0" w:leftChars="0" w:firstLine="0" w:firstLineChars="0"/>
        <w:jc w:val="center"/>
        <w:rPr>
          <w:rFonts w:hint="eastAsia" w:eastAsia="宋体"/>
          <w:color w:val="auto"/>
          <w:highlight w:val="none"/>
          <w:lang w:eastAsia="zh-CN"/>
        </w:rPr>
      </w:pPr>
      <w:r>
        <w:rPr>
          <w:rFonts w:hint="eastAsia" w:eastAsia="宋体"/>
          <w:color w:val="auto"/>
          <w:highlight w:val="none"/>
          <w:lang w:eastAsia="zh-CN"/>
        </w:rPr>
        <w:br w:type="page"/>
      </w:r>
      <w:r>
        <w:rPr>
          <w:rFonts w:hint="eastAsia" w:eastAsia="宋体"/>
          <w:color w:val="auto"/>
          <w:highlight w:val="none"/>
          <w:lang w:eastAsia="zh-CN"/>
        </w:rPr>
        <w:drawing>
          <wp:inline distT="0" distB="0" distL="114300" distR="114300">
            <wp:extent cx="8740775" cy="6178550"/>
            <wp:effectExtent l="0" t="0" r="12700" b="3175"/>
            <wp:docPr id="58" name="图片 58" descr="顺楷JQC-HJ-R241227075 JQCHS24120042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顺楷JQC-HJ-R241227075 JQCHS24120042_页面_2"/>
                    <pic:cNvPicPr>
                      <a:picLocks noChangeAspect="1"/>
                    </pic:cNvPicPr>
                  </pic:nvPicPr>
                  <pic:blipFill>
                    <a:blip r:embed="rId36"/>
                    <a:stretch>
                      <a:fillRect/>
                    </a:stretch>
                  </pic:blipFill>
                  <pic:spPr>
                    <a:xfrm rot="16200000">
                      <a:off x="0" y="0"/>
                      <a:ext cx="8740775" cy="6178550"/>
                    </a:xfrm>
                    <a:prstGeom prst="rect">
                      <a:avLst/>
                    </a:prstGeom>
                  </pic:spPr>
                </pic:pic>
              </a:graphicData>
            </a:graphic>
          </wp:inline>
        </w:drawing>
      </w:r>
    </w:p>
    <w:p w14:paraId="75BEB4AF">
      <w:pPr>
        <w:pStyle w:val="26"/>
        <w:ind w:left="0" w:leftChars="0" w:firstLine="0" w:firstLineChars="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8740775" cy="6178550"/>
            <wp:effectExtent l="0" t="0" r="12700" b="3175"/>
            <wp:docPr id="60" name="图片 60" descr="顺楷JQC-HJ-R241227075 JQCHS24120042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顺楷JQC-HJ-R241227075 JQCHS24120042_页面_3"/>
                    <pic:cNvPicPr>
                      <a:picLocks noChangeAspect="1"/>
                    </pic:cNvPicPr>
                  </pic:nvPicPr>
                  <pic:blipFill>
                    <a:blip r:embed="rId37"/>
                    <a:stretch>
                      <a:fillRect/>
                    </a:stretch>
                  </pic:blipFill>
                  <pic:spPr>
                    <a:xfrm rot="16200000">
                      <a:off x="0" y="0"/>
                      <a:ext cx="8740775" cy="6178550"/>
                    </a:xfrm>
                    <a:prstGeom prst="rect">
                      <a:avLst/>
                    </a:prstGeom>
                  </pic:spPr>
                </pic:pic>
              </a:graphicData>
            </a:graphic>
          </wp:inline>
        </w:drawing>
      </w:r>
      <w:r>
        <w:rPr>
          <w:rFonts w:hint="eastAsia" w:eastAsia="宋体"/>
          <w:color w:val="auto"/>
          <w:highlight w:val="none"/>
          <w:lang w:eastAsia="zh-CN"/>
        </w:rPr>
        <w:br w:type="page"/>
      </w:r>
      <w:r>
        <w:rPr>
          <w:rFonts w:hint="eastAsia" w:eastAsia="宋体"/>
          <w:color w:val="auto"/>
          <w:highlight w:val="none"/>
          <w:lang w:eastAsia="zh-CN"/>
        </w:rPr>
        <w:drawing>
          <wp:inline distT="0" distB="0" distL="114300" distR="114300">
            <wp:extent cx="8740775" cy="6178550"/>
            <wp:effectExtent l="0" t="0" r="12700" b="3175"/>
            <wp:docPr id="61" name="图片 61" descr="顺楷JQC-HJ-R241227075 JQCHS24120042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顺楷JQC-HJ-R241227075 JQCHS24120042_页面_4"/>
                    <pic:cNvPicPr>
                      <a:picLocks noChangeAspect="1"/>
                    </pic:cNvPicPr>
                  </pic:nvPicPr>
                  <pic:blipFill>
                    <a:blip r:embed="rId38"/>
                    <a:stretch>
                      <a:fillRect/>
                    </a:stretch>
                  </pic:blipFill>
                  <pic:spPr>
                    <a:xfrm rot="16200000">
                      <a:off x="0" y="0"/>
                      <a:ext cx="8740775" cy="6178550"/>
                    </a:xfrm>
                    <a:prstGeom prst="rect">
                      <a:avLst/>
                    </a:prstGeom>
                  </pic:spPr>
                </pic:pic>
              </a:graphicData>
            </a:graphic>
          </wp:inline>
        </w:drawing>
      </w:r>
    </w:p>
    <w:p w14:paraId="1A6D0D63">
      <w:pPr>
        <w:pStyle w:val="26"/>
        <w:ind w:left="0" w:leftChars="0" w:firstLine="0" w:firstLineChars="0"/>
        <w:jc w:val="center"/>
        <w:rPr>
          <w:rFonts w:hint="eastAsia" w:eastAsia="宋体"/>
          <w:color w:val="auto"/>
          <w:highlight w:val="none"/>
          <w:lang w:eastAsia="zh-CN"/>
        </w:rPr>
        <w:sectPr>
          <w:pgSz w:w="11906" w:h="16838"/>
          <w:pgMar w:top="1440" w:right="1083" w:bottom="1440" w:left="1083" w:header="851" w:footer="992" w:gutter="0"/>
          <w:cols w:space="0" w:num="1"/>
          <w:rtlGutter w:val="0"/>
          <w:docGrid w:type="lines" w:linePitch="442" w:charSpace="0"/>
        </w:sectPr>
      </w:pPr>
      <w:r>
        <w:rPr>
          <w:rFonts w:hint="eastAsia" w:eastAsia="宋体"/>
          <w:color w:val="auto"/>
          <w:highlight w:val="none"/>
          <w:lang w:eastAsia="zh-CN"/>
        </w:rPr>
        <w:drawing>
          <wp:inline distT="0" distB="0" distL="114300" distR="114300">
            <wp:extent cx="8740775" cy="6178550"/>
            <wp:effectExtent l="0" t="0" r="12700" b="3175"/>
            <wp:docPr id="64" name="图片 64" descr="顺楷JQC-HJ-R241227075 JQCHS24120042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顺楷JQC-HJ-R241227075 JQCHS24120042_页面_5"/>
                    <pic:cNvPicPr>
                      <a:picLocks noChangeAspect="1"/>
                    </pic:cNvPicPr>
                  </pic:nvPicPr>
                  <pic:blipFill>
                    <a:blip r:embed="rId39"/>
                    <a:stretch>
                      <a:fillRect/>
                    </a:stretch>
                  </pic:blipFill>
                  <pic:spPr>
                    <a:xfrm rot="16200000">
                      <a:off x="0" y="0"/>
                      <a:ext cx="8740775" cy="6178550"/>
                    </a:xfrm>
                    <a:prstGeom prst="rect">
                      <a:avLst/>
                    </a:prstGeom>
                  </pic:spPr>
                </pic:pic>
              </a:graphicData>
            </a:graphic>
          </wp:inline>
        </w:drawing>
      </w:r>
    </w:p>
    <w:p w14:paraId="346F677C">
      <w:pPr>
        <w:pStyle w:val="26"/>
        <w:ind w:left="0" w:leftChars="0" w:firstLine="0" w:firstLineChars="0"/>
        <w:jc w:val="both"/>
        <w:rPr>
          <w:color w:val="auto"/>
          <w:highlight w:val="none"/>
        </w:rPr>
      </w:pPr>
      <w:r>
        <w:rPr>
          <w:rFonts w:hint="eastAsia" w:ascii="Times New Roman" w:hAnsi="Times New Roman" w:eastAsia="宋体" w:cs="Times New Roman"/>
          <w:b/>
          <w:color w:val="000000"/>
          <w:sz w:val="28"/>
          <w:szCs w:val="28"/>
          <w:highlight w:val="none"/>
          <w:lang w:val="en-US" w:eastAsia="zh-CN"/>
        </w:rPr>
        <w:t xml:space="preserve">附件3 </w:t>
      </w:r>
      <w:r>
        <w:rPr>
          <w:rFonts w:hint="eastAsia" w:cs="Times New Roman"/>
          <w:b/>
          <w:color w:val="000000"/>
          <w:sz w:val="28"/>
          <w:szCs w:val="28"/>
          <w:highlight w:val="none"/>
          <w:lang w:val="en-US" w:eastAsia="zh-CN"/>
        </w:rPr>
        <w:t>环氧树脂AB胶MSDS报告</w:t>
      </w:r>
    </w:p>
    <w:p w14:paraId="1ED2EB39">
      <w:pPr>
        <w:rPr>
          <w:rFonts w:hint="eastAsia" w:eastAsia="宋体"/>
          <w:color w:val="000000"/>
          <w:lang w:eastAsia="zh-CN"/>
        </w:rPr>
      </w:pPr>
      <w:r>
        <w:rPr>
          <w:rFonts w:hint="eastAsia" w:eastAsia="宋体"/>
          <w:color w:val="000000"/>
          <w:lang w:eastAsia="zh-CN"/>
        </w:rPr>
        <w:drawing>
          <wp:inline distT="0" distB="0" distL="114300" distR="114300">
            <wp:extent cx="5267960" cy="7043420"/>
            <wp:effectExtent l="0" t="0" r="8890" b="5080"/>
            <wp:docPr id="65" name="图片 11" descr="（AB胶、半水基清洗剂、不饱和树脂）东莞市桥头云烽有色金属厂+报告表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descr="（AB胶、半水基清洗剂、不饱和树脂）东莞市桥头云烽有色金属厂+报告表_148"/>
                    <pic:cNvPicPr>
                      <a:picLocks noChangeAspect="1"/>
                    </pic:cNvPicPr>
                  </pic:nvPicPr>
                  <pic:blipFill>
                    <a:blip r:embed="rId40"/>
                    <a:srcRect t="5502"/>
                    <a:stretch>
                      <a:fillRect/>
                    </a:stretch>
                  </pic:blipFill>
                  <pic:spPr>
                    <a:xfrm>
                      <a:off x="0" y="0"/>
                      <a:ext cx="5267960" cy="7043420"/>
                    </a:xfrm>
                    <a:prstGeom prst="rect">
                      <a:avLst/>
                    </a:prstGeom>
                    <a:noFill/>
                    <a:ln>
                      <a:noFill/>
                    </a:ln>
                  </pic:spPr>
                </pic:pic>
              </a:graphicData>
            </a:graphic>
          </wp:inline>
        </w:drawing>
      </w:r>
      <w:r>
        <w:rPr>
          <w:rFonts w:hint="eastAsia" w:ascii="宋体" w:hAnsi="宋体"/>
          <w:b/>
          <w:color w:val="auto"/>
          <w:sz w:val="28"/>
          <w:szCs w:val="28"/>
          <w:highlight w:val="none"/>
          <w:lang w:val="en-US" w:eastAsia="zh-CN"/>
        </w:rPr>
        <w:br w:type="page"/>
      </w:r>
      <w:r>
        <w:rPr>
          <w:rFonts w:hint="eastAsia" w:eastAsia="宋体"/>
          <w:color w:val="000000"/>
          <w:lang w:eastAsia="zh-CN"/>
        </w:rPr>
        <w:drawing>
          <wp:inline distT="0" distB="0" distL="114300" distR="114300">
            <wp:extent cx="5267960" cy="7453630"/>
            <wp:effectExtent l="0" t="0" r="8890" b="13970"/>
            <wp:docPr id="66" name="图片 12" descr="（AB胶、半水基清洗剂、不饱和树脂）东莞市桥头云烽有色金属厂+报告表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descr="（AB胶、半水基清洗剂、不饱和树脂）东莞市桥头云烽有色金属厂+报告表_149"/>
                    <pic:cNvPicPr>
                      <a:picLocks noChangeAspect="1"/>
                    </pic:cNvPicPr>
                  </pic:nvPicPr>
                  <pic:blipFill>
                    <a:blip r:embed="rId41"/>
                    <a:stretch>
                      <a:fillRect/>
                    </a:stretch>
                  </pic:blipFill>
                  <pic:spPr>
                    <a:xfrm>
                      <a:off x="0" y="0"/>
                      <a:ext cx="5267960" cy="7453630"/>
                    </a:xfrm>
                    <a:prstGeom prst="rect">
                      <a:avLst/>
                    </a:prstGeom>
                    <a:noFill/>
                    <a:ln>
                      <a:noFill/>
                    </a:ln>
                  </pic:spPr>
                </pic:pic>
              </a:graphicData>
            </a:graphic>
          </wp:inline>
        </w:drawing>
      </w:r>
    </w:p>
    <w:p w14:paraId="2E0585AF">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67" name="图片 13" descr="（AB胶、半水基清洗剂、不饱和树脂）东莞市桥头云烽有色金属厂+报告表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descr="（AB胶、半水基清洗剂、不饱和树脂）东莞市桥头云烽有色金属厂+报告表_150"/>
                    <pic:cNvPicPr>
                      <a:picLocks noChangeAspect="1"/>
                    </pic:cNvPicPr>
                  </pic:nvPicPr>
                  <pic:blipFill>
                    <a:blip r:embed="rId42"/>
                    <a:stretch>
                      <a:fillRect/>
                    </a:stretch>
                  </pic:blipFill>
                  <pic:spPr>
                    <a:xfrm>
                      <a:off x="0" y="0"/>
                      <a:ext cx="5267960" cy="7453630"/>
                    </a:xfrm>
                    <a:prstGeom prst="rect">
                      <a:avLst/>
                    </a:prstGeom>
                    <a:noFill/>
                    <a:ln>
                      <a:noFill/>
                    </a:ln>
                  </pic:spPr>
                </pic:pic>
              </a:graphicData>
            </a:graphic>
          </wp:inline>
        </w:drawing>
      </w:r>
    </w:p>
    <w:p w14:paraId="52C6DDB4">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68" name="图片 14" descr="（AB胶、半水基清洗剂、不饱和树脂）东莞市桥头云烽有色金属厂+报告表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descr="（AB胶、半水基清洗剂、不饱和树脂）东莞市桥头云烽有色金属厂+报告表_151"/>
                    <pic:cNvPicPr>
                      <a:picLocks noChangeAspect="1"/>
                    </pic:cNvPicPr>
                  </pic:nvPicPr>
                  <pic:blipFill>
                    <a:blip r:embed="rId43"/>
                    <a:stretch>
                      <a:fillRect/>
                    </a:stretch>
                  </pic:blipFill>
                  <pic:spPr>
                    <a:xfrm>
                      <a:off x="0" y="0"/>
                      <a:ext cx="5267960" cy="7453630"/>
                    </a:xfrm>
                    <a:prstGeom prst="rect">
                      <a:avLst/>
                    </a:prstGeom>
                    <a:noFill/>
                    <a:ln>
                      <a:noFill/>
                    </a:ln>
                  </pic:spPr>
                </pic:pic>
              </a:graphicData>
            </a:graphic>
          </wp:inline>
        </w:drawing>
      </w:r>
    </w:p>
    <w:p w14:paraId="499EEB06">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69" name="图片 15" descr="（AB胶、半水基清洗剂、不饱和树脂）东莞市桥头云烽有色金属厂+报告表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descr="（AB胶、半水基清洗剂、不饱和树脂）东莞市桥头云烽有色金属厂+报告表_152"/>
                    <pic:cNvPicPr>
                      <a:picLocks noChangeAspect="1"/>
                    </pic:cNvPicPr>
                  </pic:nvPicPr>
                  <pic:blipFill>
                    <a:blip r:embed="rId44"/>
                    <a:stretch>
                      <a:fillRect/>
                    </a:stretch>
                  </pic:blipFill>
                  <pic:spPr>
                    <a:xfrm>
                      <a:off x="0" y="0"/>
                      <a:ext cx="5267960" cy="7453630"/>
                    </a:xfrm>
                    <a:prstGeom prst="rect">
                      <a:avLst/>
                    </a:prstGeom>
                    <a:noFill/>
                    <a:ln>
                      <a:noFill/>
                    </a:ln>
                  </pic:spPr>
                </pic:pic>
              </a:graphicData>
            </a:graphic>
          </wp:inline>
        </w:drawing>
      </w:r>
    </w:p>
    <w:p w14:paraId="7847F2DA">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0" name="图片 16" descr="（AB胶、半水基清洗剂、不饱和树脂）东莞市桥头云烽有色金属厂+报告表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descr="（AB胶、半水基清洗剂、不饱和树脂）东莞市桥头云烽有色金属厂+报告表_153"/>
                    <pic:cNvPicPr>
                      <a:picLocks noChangeAspect="1"/>
                    </pic:cNvPicPr>
                  </pic:nvPicPr>
                  <pic:blipFill>
                    <a:blip r:embed="rId45"/>
                    <a:stretch>
                      <a:fillRect/>
                    </a:stretch>
                  </pic:blipFill>
                  <pic:spPr>
                    <a:xfrm>
                      <a:off x="0" y="0"/>
                      <a:ext cx="5267960" cy="7453630"/>
                    </a:xfrm>
                    <a:prstGeom prst="rect">
                      <a:avLst/>
                    </a:prstGeom>
                    <a:noFill/>
                    <a:ln>
                      <a:noFill/>
                    </a:ln>
                  </pic:spPr>
                </pic:pic>
              </a:graphicData>
            </a:graphic>
          </wp:inline>
        </w:drawing>
      </w:r>
    </w:p>
    <w:p w14:paraId="69F70F84">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1" name="图片 17" descr="（AB胶、半水基清洗剂、不饱和树脂）东莞市桥头云烽有色金属厂+报告表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descr="（AB胶、半水基清洗剂、不饱和树脂）东莞市桥头云烽有色金属厂+报告表_154"/>
                    <pic:cNvPicPr>
                      <a:picLocks noChangeAspect="1"/>
                    </pic:cNvPicPr>
                  </pic:nvPicPr>
                  <pic:blipFill>
                    <a:blip r:embed="rId46"/>
                    <a:stretch>
                      <a:fillRect/>
                    </a:stretch>
                  </pic:blipFill>
                  <pic:spPr>
                    <a:xfrm>
                      <a:off x="0" y="0"/>
                      <a:ext cx="5267960" cy="7453630"/>
                    </a:xfrm>
                    <a:prstGeom prst="rect">
                      <a:avLst/>
                    </a:prstGeom>
                    <a:noFill/>
                    <a:ln>
                      <a:noFill/>
                    </a:ln>
                  </pic:spPr>
                </pic:pic>
              </a:graphicData>
            </a:graphic>
          </wp:inline>
        </w:drawing>
      </w:r>
    </w:p>
    <w:p w14:paraId="350B7C51">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2" name="图片 18" descr="（AB胶、半水基清洗剂、不饱和树脂）东莞市桥头云烽有色金属厂+报告表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descr="（AB胶、半水基清洗剂、不饱和树脂）东莞市桥头云烽有色金属厂+报告表_155"/>
                    <pic:cNvPicPr>
                      <a:picLocks noChangeAspect="1"/>
                    </pic:cNvPicPr>
                  </pic:nvPicPr>
                  <pic:blipFill>
                    <a:blip r:embed="rId47"/>
                    <a:stretch>
                      <a:fillRect/>
                    </a:stretch>
                  </pic:blipFill>
                  <pic:spPr>
                    <a:xfrm>
                      <a:off x="0" y="0"/>
                      <a:ext cx="5267960" cy="7453630"/>
                    </a:xfrm>
                    <a:prstGeom prst="rect">
                      <a:avLst/>
                    </a:prstGeom>
                    <a:noFill/>
                    <a:ln>
                      <a:noFill/>
                    </a:ln>
                  </pic:spPr>
                </pic:pic>
              </a:graphicData>
            </a:graphic>
          </wp:inline>
        </w:drawing>
      </w:r>
    </w:p>
    <w:p w14:paraId="2967F8EC">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3" name="图片 19" descr="（AB胶、半水基清洗剂、不饱和树脂）东莞市桥头云烽有色金属厂+报告表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 descr="（AB胶、半水基清洗剂、不饱和树脂）东莞市桥头云烽有色金属厂+报告表_156"/>
                    <pic:cNvPicPr>
                      <a:picLocks noChangeAspect="1"/>
                    </pic:cNvPicPr>
                  </pic:nvPicPr>
                  <pic:blipFill>
                    <a:blip r:embed="rId48"/>
                    <a:stretch>
                      <a:fillRect/>
                    </a:stretch>
                  </pic:blipFill>
                  <pic:spPr>
                    <a:xfrm>
                      <a:off x="0" y="0"/>
                      <a:ext cx="5267960" cy="7453630"/>
                    </a:xfrm>
                    <a:prstGeom prst="rect">
                      <a:avLst/>
                    </a:prstGeom>
                    <a:noFill/>
                    <a:ln>
                      <a:noFill/>
                    </a:ln>
                  </pic:spPr>
                </pic:pic>
              </a:graphicData>
            </a:graphic>
          </wp:inline>
        </w:drawing>
      </w:r>
    </w:p>
    <w:p w14:paraId="24E7E7F4">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4" name="图片 20" descr="（AB胶、半水基清洗剂、不饱和树脂）东莞市桥头云烽有色金属厂+报告表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descr="（AB胶、半水基清洗剂、不饱和树脂）东莞市桥头云烽有色金属厂+报告表_157"/>
                    <pic:cNvPicPr>
                      <a:picLocks noChangeAspect="1"/>
                    </pic:cNvPicPr>
                  </pic:nvPicPr>
                  <pic:blipFill>
                    <a:blip r:embed="rId49"/>
                    <a:stretch>
                      <a:fillRect/>
                    </a:stretch>
                  </pic:blipFill>
                  <pic:spPr>
                    <a:xfrm>
                      <a:off x="0" y="0"/>
                      <a:ext cx="5267960" cy="7453630"/>
                    </a:xfrm>
                    <a:prstGeom prst="rect">
                      <a:avLst/>
                    </a:prstGeom>
                    <a:noFill/>
                    <a:ln>
                      <a:noFill/>
                    </a:ln>
                  </pic:spPr>
                </pic:pic>
              </a:graphicData>
            </a:graphic>
          </wp:inline>
        </w:drawing>
      </w:r>
    </w:p>
    <w:p w14:paraId="020C5F50">
      <w:pPr>
        <w:rPr>
          <w:rFonts w:hint="eastAsia" w:eastAsia="宋体"/>
          <w:color w:val="000000"/>
          <w:lang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5" name="图片 21" descr="（AB胶、半水基清洗剂、不饱和树脂）东莞市桥头云烽有色金属厂+报告表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descr="（AB胶、半水基清洗剂、不饱和树脂）东莞市桥头云烽有色金属厂+报告表_158"/>
                    <pic:cNvPicPr>
                      <a:picLocks noChangeAspect="1"/>
                    </pic:cNvPicPr>
                  </pic:nvPicPr>
                  <pic:blipFill>
                    <a:blip r:embed="rId50"/>
                    <a:stretch>
                      <a:fillRect/>
                    </a:stretch>
                  </pic:blipFill>
                  <pic:spPr>
                    <a:xfrm>
                      <a:off x="0" y="0"/>
                      <a:ext cx="5267960" cy="7453630"/>
                    </a:xfrm>
                    <a:prstGeom prst="rect">
                      <a:avLst/>
                    </a:prstGeom>
                    <a:noFill/>
                    <a:ln>
                      <a:noFill/>
                    </a:ln>
                  </pic:spPr>
                </pic:pic>
              </a:graphicData>
            </a:graphic>
          </wp:inline>
        </w:drawing>
      </w:r>
    </w:p>
    <w:p w14:paraId="0595EA46">
      <w:pPr>
        <w:rPr>
          <w:rFonts w:hint="eastAsia" w:ascii="宋体" w:hAnsi="宋体"/>
          <w:b/>
          <w:color w:val="auto"/>
          <w:sz w:val="28"/>
          <w:szCs w:val="28"/>
          <w:highlight w:val="none"/>
          <w:lang w:val="en-US" w:eastAsia="zh-CN"/>
        </w:rPr>
      </w:pPr>
      <w:r>
        <w:rPr>
          <w:rFonts w:hint="eastAsia" w:eastAsia="宋体"/>
          <w:color w:val="000000"/>
          <w:lang w:eastAsia="zh-CN"/>
        </w:rPr>
        <w:br w:type="page"/>
      </w:r>
      <w:r>
        <w:rPr>
          <w:rFonts w:hint="eastAsia" w:eastAsia="宋体"/>
          <w:color w:val="000000"/>
          <w:lang w:eastAsia="zh-CN"/>
        </w:rPr>
        <w:drawing>
          <wp:inline distT="0" distB="0" distL="114300" distR="114300">
            <wp:extent cx="5267960" cy="7453630"/>
            <wp:effectExtent l="0" t="0" r="8890" b="13970"/>
            <wp:docPr id="76" name="图片 22" descr="（AB胶、半水基清洗剂、不饱和树脂）东莞市桥头云烽有色金属厂+报告表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descr="（AB胶、半水基清洗剂、不饱和树脂）东莞市桥头云烽有色金属厂+报告表_159"/>
                    <pic:cNvPicPr>
                      <a:picLocks noChangeAspect="1"/>
                    </pic:cNvPicPr>
                  </pic:nvPicPr>
                  <pic:blipFill>
                    <a:blip r:embed="rId51"/>
                    <a:stretch>
                      <a:fillRect/>
                    </a:stretch>
                  </pic:blipFill>
                  <pic:spPr>
                    <a:xfrm>
                      <a:off x="0" y="0"/>
                      <a:ext cx="5267960" cy="7453630"/>
                    </a:xfrm>
                    <a:prstGeom prst="rect">
                      <a:avLst/>
                    </a:prstGeom>
                    <a:noFill/>
                    <a:ln>
                      <a:noFill/>
                    </a:ln>
                  </pic:spPr>
                </pic:pic>
              </a:graphicData>
            </a:graphic>
          </wp:inline>
        </w:drawing>
      </w:r>
      <w:r>
        <w:rPr>
          <w:rFonts w:hint="eastAsia" w:ascii="宋体" w:hAnsi="宋体"/>
          <w:b/>
          <w:color w:val="auto"/>
          <w:sz w:val="28"/>
          <w:szCs w:val="28"/>
          <w:highlight w:val="none"/>
          <w:lang w:val="en-US" w:eastAsia="zh-CN"/>
        </w:rPr>
        <w:br w:type="page"/>
      </w:r>
      <w:r>
        <w:rPr>
          <w:rFonts w:hint="eastAsia" w:ascii="Times New Roman" w:hAnsi="Times New Roman" w:eastAsia="宋体" w:cs="Times New Roman"/>
          <w:b/>
          <w:color w:val="000000"/>
          <w:sz w:val="28"/>
          <w:szCs w:val="28"/>
          <w:highlight w:val="none"/>
          <w:lang w:val="en-US" w:eastAsia="zh-CN"/>
        </w:rPr>
        <w:t>附件4：</w:t>
      </w:r>
      <w:r>
        <w:rPr>
          <w:rFonts w:hint="eastAsia" w:ascii="Times New Roman" w:hAnsi="Times New Roman" w:eastAsia="宋体" w:cs="Times New Roman"/>
          <w:b/>
          <w:color w:val="000000"/>
          <w:sz w:val="28"/>
          <w:szCs w:val="28"/>
          <w:highlight w:val="none"/>
          <w:lang w:val="en-US" w:eastAsia="zh-CN"/>
        </w:rPr>
        <w:t>环氧树脂AB胶VOC检测报告</w:t>
      </w:r>
    </w:p>
    <w:p w14:paraId="39357B26">
      <w:pPr>
        <w:rPr>
          <w:rFonts w:hint="eastAsia" w:ascii="宋体" w:hAnsi="宋体"/>
          <w:b/>
          <w:color w:val="auto"/>
          <w:sz w:val="28"/>
          <w:szCs w:val="28"/>
          <w:highlight w:val="none"/>
          <w:lang w:val="en-US" w:eastAsia="zh-CN"/>
        </w:rPr>
      </w:pPr>
      <w:r>
        <w:rPr>
          <w:rFonts w:hint="eastAsia" w:eastAsia="宋体"/>
          <w:color w:val="000000"/>
          <w:lang w:eastAsia="zh-CN"/>
        </w:rPr>
        <w:drawing>
          <wp:anchor distT="0" distB="0" distL="114300" distR="114300" simplePos="0" relativeHeight="251681792" behindDoc="0" locked="0" layoutInCell="1" allowOverlap="1">
            <wp:simplePos x="0" y="0"/>
            <wp:positionH relativeFrom="page">
              <wp:posOffset>890905</wp:posOffset>
            </wp:positionH>
            <wp:positionV relativeFrom="page">
              <wp:posOffset>1346835</wp:posOffset>
            </wp:positionV>
            <wp:extent cx="5271135" cy="7453630"/>
            <wp:effectExtent l="0" t="0" r="5715" b="13970"/>
            <wp:wrapTopAndBottom/>
            <wp:docPr id="77" name="图片 14" descr="（AB胶、半水基清洗剂、不饱和树脂）东莞市桥头云烽有色金属厂+报告表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descr="（AB胶、半水基清洗剂、不饱和树脂）东莞市桥头云烽有色金属厂+报告表_172"/>
                    <pic:cNvPicPr>
                      <a:picLocks noChangeAspect="1"/>
                    </pic:cNvPicPr>
                  </pic:nvPicPr>
                  <pic:blipFill>
                    <a:blip r:embed="rId52"/>
                    <a:stretch>
                      <a:fillRect/>
                    </a:stretch>
                  </pic:blipFill>
                  <pic:spPr>
                    <a:xfrm>
                      <a:off x="0" y="0"/>
                      <a:ext cx="5271135" cy="7453630"/>
                    </a:xfrm>
                    <a:prstGeom prst="rect">
                      <a:avLst/>
                    </a:prstGeom>
                    <a:noFill/>
                    <a:ln>
                      <a:noFill/>
                    </a:ln>
                  </pic:spPr>
                </pic:pic>
              </a:graphicData>
            </a:graphic>
          </wp:anchor>
        </w:drawing>
      </w:r>
    </w:p>
    <w:p w14:paraId="395EB852">
      <w:pPr>
        <w:rPr>
          <w:rFonts w:hint="eastAsia" w:ascii="宋体" w:hAnsi="宋体"/>
          <w:b/>
          <w:color w:val="auto"/>
          <w:sz w:val="28"/>
          <w:szCs w:val="28"/>
          <w:highlight w:val="none"/>
          <w:lang w:val="en-US" w:eastAsia="zh-CN"/>
        </w:rPr>
      </w:pPr>
      <w:r>
        <w:rPr>
          <w:rFonts w:hint="eastAsia" w:ascii="宋体" w:hAnsi="宋体"/>
          <w:b/>
          <w:color w:val="auto"/>
          <w:sz w:val="28"/>
          <w:szCs w:val="28"/>
          <w:highlight w:val="none"/>
          <w:lang w:val="en-US" w:eastAsia="zh-CN"/>
        </w:rPr>
        <w:br w:type="page"/>
      </w:r>
      <w:r>
        <w:rPr>
          <w:rFonts w:hint="eastAsia" w:eastAsia="宋体"/>
          <w:color w:val="000000"/>
          <w:lang w:eastAsia="zh-CN"/>
        </w:rPr>
        <w:drawing>
          <wp:inline distT="0" distB="0" distL="114300" distR="114300">
            <wp:extent cx="5271135" cy="7453630"/>
            <wp:effectExtent l="0" t="0" r="5715" b="13970"/>
            <wp:docPr id="78" name="图片 23" descr="（AB胶、半水基清洗剂、不饱和树脂）东莞市桥头云烽有色金属厂+报告表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descr="（AB胶、半水基清洗剂、不饱和树脂）东莞市桥头云烽有色金属厂+报告表_173"/>
                    <pic:cNvPicPr>
                      <a:picLocks noChangeAspect="1"/>
                    </pic:cNvPicPr>
                  </pic:nvPicPr>
                  <pic:blipFill>
                    <a:blip r:embed="rId53"/>
                    <a:stretch>
                      <a:fillRect/>
                    </a:stretch>
                  </pic:blipFill>
                  <pic:spPr>
                    <a:xfrm>
                      <a:off x="0" y="0"/>
                      <a:ext cx="5271135" cy="7453630"/>
                    </a:xfrm>
                    <a:prstGeom prst="rect">
                      <a:avLst/>
                    </a:prstGeom>
                    <a:noFill/>
                    <a:ln>
                      <a:noFill/>
                    </a:ln>
                  </pic:spPr>
                </pic:pic>
              </a:graphicData>
            </a:graphic>
          </wp:inline>
        </w:drawing>
      </w:r>
    </w:p>
    <w:p w14:paraId="2BE2AE95">
      <w:pPr>
        <w:rPr>
          <w:rFonts w:hint="eastAsia" w:eastAsia="宋体"/>
          <w:color w:val="000000"/>
          <w:lang w:eastAsia="zh-CN"/>
        </w:rPr>
      </w:pPr>
      <w:r>
        <w:rPr>
          <w:rFonts w:hint="eastAsia" w:ascii="宋体" w:hAnsi="宋体"/>
          <w:b/>
          <w:color w:val="auto"/>
          <w:sz w:val="28"/>
          <w:szCs w:val="28"/>
          <w:highlight w:val="none"/>
          <w:lang w:val="en-US" w:eastAsia="zh-CN"/>
        </w:rPr>
        <w:br w:type="page"/>
      </w:r>
      <w:r>
        <w:rPr>
          <w:rFonts w:hint="eastAsia" w:eastAsia="宋体"/>
          <w:color w:val="000000"/>
          <w:lang w:eastAsia="zh-CN"/>
        </w:rPr>
        <w:drawing>
          <wp:inline distT="0" distB="0" distL="114300" distR="114300">
            <wp:extent cx="5271135" cy="7453630"/>
            <wp:effectExtent l="0" t="0" r="5715" b="13970"/>
            <wp:docPr id="79" name="图片 24" descr="（AB胶、半水基清洗剂、不饱和树脂）东莞市桥头云烽有色金属厂+报告表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4" descr="（AB胶、半水基清洗剂、不饱和树脂）东莞市桥头云烽有色金属厂+报告表_174"/>
                    <pic:cNvPicPr>
                      <a:picLocks noChangeAspect="1"/>
                    </pic:cNvPicPr>
                  </pic:nvPicPr>
                  <pic:blipFill>
                    <a:blip r:embed="rId54"/>
                    <a:stretch>
                      <a:fillRect/>
                    </a:stretch>
                  </pic:blipFill>
                  <pic:spPr>
                    <a:xfrm>
                      <a:off x="0" y="0"/>
                      <a:ext cx="5271135" cy="7453630"/>
                    </a:xfrm>
                    <a:prstGeom prst="rect">
                      <a:avLst/>
                    </a:prstGeom>
                    <a:noFill/>
                    <a:ln>
                      <a:noFill/>
                    </a:ln>
                  </pic:spPr>
                </pic:pic>
              </a:graphicData>
            </a:graphic>
          </wp:inline>
        </w:drawing>
      </w:r>
    </w:p>
    <w:p w14:paraId="0B1FCFC3">
      <w:pPr>
        <w:rPr>
          <w:rFonts w:hint="eastAsia" w:eastAsia="宋体"/>
          <w:color w:val="auto"/>
          <w:highlight w:val="none"/>
          <w:lang w:eastAsia="zh-CN"/>
        </w:rPr>
      </w:pPr>
      <w:r>
        <w:rPr>
          <w:rFonts w:hint="eastAsia" w:eastAsia="宋体"/>
          <w:color w:val="000000"/>
          <w:lang w:eastAsia="zh-CN"/>
        </w:rPr>
        <w:br w:type="page"/>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ms Rmn">
    <w:altName w:val="Segoe Print"/>
    <w:panose1 w:val="020206030400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仿宋体">
    <w:altName w:val="楷体"/>
    <w:panose1 w:val="00000000000000000000"/>
    <w:charset w:val="86"/>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方正小标宋_GBK">
    <w:altName w:val="微软雅黑"/>
    <w:panose1 w:val="02000000000000000000"/>
    <w:charset w:val="86"/>
    <w:family w:val="modern"/>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86"/>
    <w:family w:val="decorative"/>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Kingsoft UE">
    <w:panose1 w:val="02000100010000000000"/>
    <w:charset w:val="00"/>
    <w:family w:val="auto"/>
    <w:pitch w:val="default"/>
    <w:sig w:usb0="00000001" w:usb1="00004000" w:usb2="00000000" w:usb3="00000000" w:csb0="00000001"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960483">
    <w:pPr>
      <w:pStyle w:val="5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DC5C6">
    <w:pPr>
      <w:pStyle w:val="5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F60C7">
    <w:pPr>
      <w:pStyle w:val="55"/>
      <w:framePr w:wrap="around" w:vAnchor="text" w:hAnchor="margin" w:xAlign="outside" w:y="1"/>
      <w:rPr>
        <w:rStyle w:val="67"/>
        <w:rFonts w:ascii="宋体" w:hAnsi="宋体"/>
        <w:sz w:val="28"/>
        <w:szCs w:val="28"/>
      </w:rPr>
    </w:pPr>
    <w:r>
      <w:rPr>
        <w:rStyle w:val="67"/>
        <w:rFonts w:hint="eastAsia" w:ascii="宋体" w:hAnsi="宋体"/>
        <w:sz w:val="28"/>
        <w:szCs w:val="28"/>
      </w:rPr>
      <w:t>—</w:t>
    </w:r>
    <w:r>
      <w:rPr>
        <w:rStyle w:val="67"/>
        <w:rFonts w:hint="eastAsia" w:ascii="宋体" w:hAnsi="宋体"/>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Style w:val="67"/>
        <w:rFonts w:ascii="宋体" w:hAnsi="宋体"/>
        <w:sz w:val="26"/>
        <w:szCs w:val="26"/>
      </w:rPr>
      <w:t>9</w:t>
    </w:r>
    <w:r>
      <w:rPr>
        <w:rFonts w:ascii="宋体" w:hAnsi="宋体"/>
        <w:sz w:val="26"/>
        <w:szCs w:val="26"/>
      </w:rPr>
      <w:fldChar w:fldCharType="end"/>
    </w:r>
    <w:r>
      <w:rPr>
        <w:rStyle w:val="67"/>
        <w:rFonts w:hint="eastAsia" w:ascii="宋体" w:hAnsi="宋体"/>
        <w:sz w:val="20"/>
      </w:rPr>
      <w:t xml:space="preserve">  </w:t>
    </w:r>
    <w:r>
      <w:rPr>
        <w:rStyle w:val="67"/>
        <w:rFonts w:hint="eastAsia" w:ascii="宋体" w:hAnsi="宋体"/>
        <w:sz w:val="28"/>
        <w:szCs w:val="28"/>
      </w:rPr>
      <w:t>—</w:t>
    </w:r>
  </w:p>
  <w:p w14:paraId="0728B173">
    <w:pPr>
      <w:pStyle w:val="55"/>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8FAA3">
    <w:pPr>
      <w:pStyle w:val="55"/>
      <w:framePr w:wrap="around" w:vAnchor="text" w:hAnchor="margin" w:xAlign="center" w:y="1"/>
      <w:rPr>
        <w:rStyle w:val="67"/>
        <w:rFonts w:ascii="宋体" w:hAnsi="宋体"/>
        <w:sz w:val="28"/>
        <w:szCs w:val="28"/>
      </w:rPr>
    </w:pPr>
    <w:r>
      <w:rPr>
        <w:rStyle w:val="67"/>
        <w:rFonts w:hint="eastAsia" w:ascii="宋体" w:hAnsi="宋体"/>
        <w:sz w:val="28"/>
        <w:szCs w:val="28"/>
      </w:rPr>
      <w:t>—</w:t>
    </w:r>
    <w:r>
      <w:rPr>
        <w:rStyle w:val="67"/>
        <w:rFonts w:hint="eastAsia" w:ascii="宋体" w:hAnsi="宋体"/>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Style w:val="67"/>
        <w:rFonts w:ascii="宋体" w:hAnsi="宋体"/>
        <w:sz w:val="26"/>
        <w:szCs w:val="26"/>
      </w:rPr>
      <w:t>10</w:t>
    </w:r>
    <w:r>
      <w:rPr>
        <w:rFonts w:ascii="宋体" w:hAnsi="宋体"/>
        <w:sz w:val="26"/>
        <w:szCs w:val="26"/>
      </w:rPr>
      <w:fldChar w:fldCharType="end"/>
    </w:r>
    <w:r>
      <w:rPr>
        <w:rStyle w:val="67"/>
        <w:rFonts w:hint="eastAsia" w:ascii="宋体" w:hAnsi="宋体"/>
        <w:sz w:val="20"/>
      </w:rPr>
      <w:t xml:space="preserve">  </w:t>
    </w:r>
    <w:r>
      <w:rPr>
        <w:rStyle w:val="67"/>
        <w:rFonts w:hint="eastAsia" w:ascii="宋体" w:hAnsi="宋体"/>
        <w:sz w:val="28"/>
        <w:szCs w:val="28"/>
      </w:rPr>
      <w:t>—</w:t>
    </w:r>
  </w:p>
  <w:p w14:paraId="620F2915">
    <w:pPr>
      <w:pStyle w:val="55"/>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5196C">
    <w:pPr>
      <w:pStyle w:val="55"/>
      <w:ind w:right="360" w:firstLine="360"/>
      <w:jc w:val="center"/>
    </w:pPr>
    <w:r>
      <w:pict>
        <v:shape id="4097" o:spid="_x0000_s2049" o:spt="202" type="#_x0000_t202" style="position:absolute;left:0pt;margin-left:309.55pt;margin-top:1.35pt;height:144pt;width:144pt;mso-position-horizontal-relative:margin;mso-wrap-style:none;z-index:251660288;mso-width-relative:page;mso-height-relative:page;" filled="f" stroked="f" coordsize="21600,21600">
          <v:path/>
          <v:fill on="f" focussize="0,0"/>
          <v:stroke on="f"/>
          <v:imagedata o:title=""/>
          <o:lock v:ext="edit"/>
          <v:textbox inset="0mm,0mm,0mm,0mm" style="mso-fit-shape-to-text:t;">
            <w:txbxContent>
              <w:p w14:paraId="316347D8">
                <w:pPr>
                  <w:pStyle w:val="55"/>
                  <w:rPr>
                    <w:rStyle w:val="67"/>
                    <w:rFonts w:ascii="宋体" w:hAnsi="宋体"/>
                    <w:sz w:val="28"/>
                    <w:szCs w:val="28"/>
                  </w:rPr>
                </w:pPr>
                <w:r>
                  <w:rPr>
                    <w:rStyle w:val="67"/>
                    <w:rFonts w:ascii="宋体" w:hAnsi="宋体"/>
                    <w:sz w:val="28"/>
                    <w:szCs w:val="28"/>
                  </w:rPr>
                  <w:t xml:space="preserve">— </w:t>
                </w:r>
                <w:r>
                  <w:rPr>
                    <w:rStyle w:val="67"/>
                    <w:rFonts w:ascii="宋体" w:hAnsi="宋体"/>
                    <w:sz w:val="28"/>
                    <w:szCs w:val="28"/>
                  </w:rPr>
                  <w:fldChar w:fldCharType="begin"/>
                </w:r>
                <w:r>
                  <w:rPr>
                    <w:rStyle w:val="67"/>
                    <w:rFonts w:ascii="宋体" w:hAnsi="宋体"/>
                    <w:sz w:val="28"/>
                    <w:szCs w:val="28"/>
                  </w:rPr>
                  <w:instrText xml:space="preserve"> PAGE  \* MERGEFORMAT </w:instrText>
                </w:r>
                <w:r>
                  <w:rPr>
                    <w:rStyle w:val="67"/>
                    <w:rFonts w:ascii="宋体" w:hAnsi="宋体"/>
                    <w:sz w:val="28"/>
                    <w:szCs w:val="28"/>
                  </w:rPr>
                  <w:fldChar w:fldCharType="separate"/>
                </w:r>
                <w:r>
                  <w:rPr>
                    <w:rStyle w:val="67"/>
                    <w:rFonts w:ascii="宋体" w:hAnsi="宋体"/>
                    <w:sz w:val="28"/>
                    <w:szCs w:val="28"/>
                  </w:rPr>
                  <w:t>9</w:t>
                </w:r>
                <w:r>
                  <w:rPr>
                    <w:rStyle w:val="67"/>
                    <w:rFonts w:ascii="宋体" w:hAnsi="宋体"/>
                    <w:sz w:val="28"/>
                    <w:szCs w:val="28"/>
                  </w:rPr>
                  <w:fldChar w:fldCharType="end"/>
                </w:r>
                <w:r>
                  <w:rPr>
                    <w:rStyle w:val="67"/>
                    <w:rFonts w:ascii="宋体" w:hAnsi="宋体"/>
                    <w:sz w:val="28"/>
                    <w:szCs w:val="28"/>
                  </w:rPr>
                  <w:t xml:space="preserve"> —</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584ED">
    <w:pPr>
      <w:pStyle w:val="5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823A08"/>
    <w:multiLevelType w:val="singleLevel"/>
    <w:tmpl w:val="8A823A08"/>
    <w:lvl w:ilvl="0" w:tentative="0">
      <w:start w:val="3"/>
      <w:numFmt w:val="decimal"/>
      <w:suff w:val="nothing"/>
      <w:lvlText w:val="（%1）"/>
      <w:lvlJc w:val="left"/>
    </w:lvl>
  </w:abstractNum>
  <w:abstractNum w:abstractNumId="1">
    <w:nsid w:val="00000000"/>
    <w:multiLevelType w:val="singleLevel"/>
    <w:tmpl w:val="00000000"/>
    <w:lvl w:ilvl="0" w:tentative="0">
      <w:start w:val="1"/>
      <w:numFmt w:val="decimal"/>
      <w:suff w:val="nothing"/>
      <w:lvlText w:val="（%1）"/>
      <w:lvlJc w:val="left"/>
    </w:lvl>
  </w:abstractNum>
  <w:abstractNum w:abstractNumId="2">
    <w:nsid w:val="00000001"/>
    <w:multiLevelType w:val="multilevel"/>
    <w:tmpl w:val="00000001"/>
    <w:lvl w:ilvl="0" w:tentative="0">
      <w:start w:val="1"/>
      <w:numFmt w:val="decimal"/>
      <w:pStyle w:val="92"/>
      <w:lvlText w:val="表%1."/>
      <w:lvlJc w:val="left"/>
      <w:pPr>
        <w:tabs>
          <w:tab w:val="left" w:pos="0"/>
        </w:tabs>
        <w:ind w:left="420" w:hanging="420"/>
      </w:pPr>
      <w:rPr>
        <w:rFonts w:hint="default" w:ascii="Times New Roman" w:hAnsi="Times New Roman" w:eastAsia="宋体"/>
        <w:b/>
        <w:i w:val="0"/>
        <w:color w:val="00000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2"/>
    <w:multiLevelType w:val="multilevel"/>
    <w:tmpl w:val="00000002"/>
    <w:lvl w:ilvl="0" w:tentative="0">
      <w:start w:val="1"/>
      <w:numFmt w:val="decimal"/>
      <w:pStyle w:val="2"/>
      <w:lvlText w:val="%1"/>
      <w:lvlJc w:val="left"/>
      <w:pPr>
        <w:ind w:left="-246" w:hanging="432"/>
      </w:pPr>
      <w:rPr>
        <w:rFonts w:hint="eastAsia"/>
      </w:rPr>
    </w:lvl>
    <w:lvl w:ilvl="1" w:tentative="0">
      <w:start w:val="1"/>
      <w:numFmt w:val="decimal"/>
      <w:lvlText w:val="%1.%2"/>
      <w:lvlJc w:val="left"/>
      <w:pPr>
        <w:ind w:left="2419" w:hanging="576"/>
      </w:pPr>
      <w:rPr>
        <w:rFonts w:hint="default" w:ascii="Times New Roman" w:hAnsi="Times New Roman"/>
        <w:b/>
        <w:bCs w:val="0"/>
        <w:i w:val="0"/>
        <w:iCs w:val="0"/>
        <w:caps w:val="0"/>
        <w:smallCaps w:val="0"/>
        <w:outline w:val="0"/>
        <w:emboss w:val="0"/>
        <w:imprint w:val="0"/>
        <w:vanish w:val="0"/>
        <w:spacing w:val="0"/>
        <w:position w:val="0"/>
        <w:u w:val="none"/>
        <w:vertAlign w:val="baseline"/>
        <w14:shadow w14:blurRad="0" w14:dist="0" w14:dir="0" w14:sx="100000" w14:sy="100000" w14:kx="0" w14:ky="0" w14:algn="none">
          <w14:srgbClr w14:val="808080"/>
        </w14:shadow>
      </w:rPr>
    </w:lvl>
    <w:lvl w:ilvl="2" w:tentative="0">
      <w:start w:val="1"/>
      <w:numFmt w:val="decimal"/>
      <w:lvlText w:val="%1.%2.%3"/>
      <w:lvlJc w:val="left"/>
      <w:pPr>
        <w:ind w:left="0" w:firstLine="0"/>
      </w:pPr>
    </w:lvl>
    <w:lvl w:ilvl="3" w:tentative="0">
      <w:start w:val="1"/>
      <w:numFmt w:val="decimal"/>
      <w:lvlText w:val="%1.%2.%3.%4"/>
      <w:lvlJc w:val="left"/>
      <w:pPr>
        <w:ind w:left="612" w:hanging="864"/>
      </w:pPr>
    </w:lvl>
    <w:lvl w:ilvl="4" w:tentative="0">
      <w:start w:val="1"/>
      <w:numFmt w:val="decimal"/>
      <w:lvlText w:val="%1.%2.%3.%4.%5"/>
      <w:lvlJc w:val="left"/>
      <w:pPr>
        <w:ind w:left="330" w:hanging="1008"/>
      </w:pPr>
      <w:rPr>
        <w:rFonts w:hint="eastAsia"/>
        <w:lang w:val="en-US"/>
      </w:rPr>
    </w:lvl>
    <w:lvl w:ilvl="5" w:tentative="0">
      <w:start w:val="1"/>
      <w:numFmt w:val="decimal"/>
      <w:lvlText w:val="%1.%2.%3.%4.%5.%6"/>
      <w:lvlJc w:val="left"/>
      <w:pPr>
        <w:ind w:left="474" w:hanging="1152"/>
      </w:pPr>
      <w:rPr>
        <w:rFonts w:hint="eastAsia"/>
      </w:rPr>
    </w:lvl>
    <w:lvl w:ilvl="6" w:tentative="0">
      <w:start w:val="1"/>
      <w:numFmt w:val="decimal"/>
      <w:lvlText w:val="%1.%2.%3.%4.%5.%6.%7"/>
      <w:lvlJc w:val="left"/>
      <w:pPr>
        <w:ind w:left="618" w:hanging="1296"/>
      </w:pPr>
      <w:rPr>
        <w:rFonts w:hint="eastAsia"/>
      </w:rPr>
    </w:lvl>
    <w:lvl w:ilvl="7" w:tentative="0">
      <w:start w:val="1"/>
      <w:numFmt w:val="decimal"/>
      <w:lvlText w:val="%1.%2.%3.%4.%5.%6.%7.%8"/>
      <w:lvlJc w:val="left"/>
      <w:pPr>
        <w:ind w:left="762" w:hanging="1440"/>
      </w:pPr>
      <w:rPr>
        <w:rFonts w:hint="eastAsia"/>
      </w:rPr>
    </w:lvl>
    <w:lvl w:ilvl="8" w:tentative="0">
      <w:start w:val="1"/>
      <w:numFmt w:val="decimal"/>
      <w:lvlText w:val="%1.%2.%3.%4.%5.%6.%7.%8.%9"/>
      <w:lvlJc w:val="left"/>
      <w:pPr>
        <w:ind w:left="906" w:hanging="1584"/>
      </w:pPr>
      <w:rPr>
        <w:rFonts w:hint="eastAsia"/>
      </w:rPr>
    </w:lvl>
  </w:abstractNum>
  <w:abstractNum w:abstractNumId="4">
    <w:nsid w:val="00000003"/>
    <w:multiLevelType w:val="singleLevel"/>
    <w:tmpl w:val="00000003"/>
    <w:lvl w:ilvl="0" w:tentative="0">
      <w:start w:val="1"/>
      <w:numFmt w:val="decimal"/>
      <w:pStyle w:val="86"/>
      <w:suff w:val="nothing"/>
      <w:lvlText w:val="表%1 "/>
      <w:lvlJc w:val="left"/>
      <w:pPr>
        <w:tabs>
          <w:tab w:val="left" w:pos="0"/>
        </w:tabs>
      </w:pPr>
      <w:rPr>
        <w:rFonts w:hint="default" w:ascii="宋体" w:hAnsi="宋体" w:eastAsia="宋体" w:cs="宋体"/>
      </w:rPr>
    </w:lvl>
  </w:abstractNum>
  <w:abstractNum w:abstractNumId="5">
    <w:nsid w:val="00000004"/>
    <w:multiLevelType w:val="multilevel"/>
    <w:tmpl w:val="00000004"/>
    <w:lvl w:ilvl="0" w:tentative="0">
      <w:start w:val="1"/>
      <w:numFmt w:val="decimal"/>
      <w:pStyle w:val="33"/>
      <w:lvlText w:val="表%1"/>
      <w:lvlJc w:val="center"/>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0000005"/>
    <w:multiLevelType w:val="multilevel"/>
    <w:tmpl w:val="00000005"/>
    <w:lvl w:ilvl="0" w:tentative="0">
      <w:start w:val="1"/>
      <w:numFmt w:val="decimal"/>
      <w:lvlText w:val="%1"/>
      <w:lvlJc w:val="left"/>
      <w:pPr>
        <w:ind w:left="-246" w:hanging="432"/>
      </w:pPr>
      <w:rPr>
        <w:rFonts w:hint="eastAsia"/>
      </w:rPr>
    </w:lvl>
    <w:lvl w:ilvl="1" w:tentative="0">
      <w:start w:val="1"/>
      <w:numFmt w:val="decimal"/>
      <w:lvlText w:val="%1.%2"/>
      <w:lvlJc w:val="left"/>
      <w:pPr>
        <w:ind w:left="2419" w:hanging="576"/>
      </w:pPr>
      <w:rPr>
        <w:rFonts w:hint="default" w:ascii="Times New Roman" w:hAnsi="Times New Roman"/>
        <w:b/>
        <w:bCs w:val="0"/>
        <w:i w:val="0"/>
        <w:iCs w:val="0"/>
        <w:caps w:val="0"/>
        <w:smallCaps w:val="0"/>
        <w:outline w:val="0"/>
        <w:emboss w:val="0"/>
        <w:imprint w:val="0"/>
        <w:vanish w:val="0"/>
        <w:spacing w:val="0"/>
        <w:position w:val="0"/>
        <w:u w:val="none"/>
        <w:vertAlign w:val="baseline"/>
        <w14:shadow w14:blurRad="0" w14:dist="0" w14:dir="0" w14:sx="100000" w14:sy="100000" w14:kx="0" w14:ky="0" w14:algn="none">
          <w14:srgbClr w14:val="808080"/>
        </w14:shadow>
      </w:rPr>
    </w:lvl>
    <w:lvl w:ilvl="2" w:tentative="0">
      <w:start w:val="1"/>
      <w:numFmt w:val="decimal"/>
      <w:lvlText w:val="%1.%2.%3"/>
      <w:lvlJc w:val="left"/>
      <w:pPr>
        <w:ind w:left="0" w:firstLine="0"/>
      </w:pPr>
    </w:lvl>
    <w:lvl w:ilvl="3" w:tentative="0">
      <w:start w:val="1"/>
      <w:numFmt w:val="decimal"/>
      <w:lvlText w:val="%1.%2.%3.%4"/>
      <w:lvlJc w:val="left"/>
      <w:pPr>
        <w:ind w:left="612" w:hanging="864"/>
      </w:pPr>
    </w:lvl>
    <w:lvl w:ilvl="4" w:tentative="0">
      <w:start w:val="1"/>
      <w:numFmt w:val="decimal"/>
      <w:pStyle w:val="32"/>
      <w:lvlText w:val="%1.%2.%3.%4.%5"/>
      <w:lvlJc w:val="left"/>
      <w:pPr>
        <w:ind w:left="330" w:hanging="1008"/>
      </w:pPr>
      <w:rPr>
        <w:rFonts w:hint="eastAsia"/>
        <w:lang w:val="en-US"/>
      </w:rPr>
    </w:lvl>
    <w:lvl w:ilvl="5" w:tentative="0">
      <w:start w:val="1"/>
      <w:numFmt w:val="decimal"/>
      <w:lvlText w:val="%1.%2.%3.%4.%5.%6"/>
      <w:lvlJc w:val="left"/>
      <w:pPr>
        <w:ind w:left="474" w:hanging="1152"/>
      </w:pPr>
      <w:rPr>
        <w:rFonts w:hint="eastAsia"/>
      </w:rPr>
    </w:lvl>
    <w:lvl w:ilvl="6" w:tentative="0">
      <w:start w:val="1"/>
      <w:numFmt w:val="decimal"/>
      <w:lvlText w:val="%1.%2.%3.%4.%5.%6.%7"/>
      <w:lvlJc w:val="left"/>
      <w:pPr>
        <w:ind w:left="618" w:hanging="1296"/>
      </w:pPr>
      <w:rPr>
        <w:rFonts w:hint="eastAsia"/>
      </w:rPr>
    </w:lvl>
    <w:lvl w:ilvl="7" w:tentative="0">
      <w:start w:val="1"/>
      <w:numFmt w:val="decimal"/>
      <w:lvlText w:val="%1.%2.%3.%4.%5.%6.%7.%8"/>
      <w:lvlJc w:val="left"/>
      <w:pPr>
        <w:ind w:left="762" w:hanging="1440"/>
      </w:pPr>
      <w:rPr>
        <w:rFonts w:hint="eastAsia"/>
      </w:rPr>
    </w:lvl>
    <w:lvl w:ilvl="8" w:tentative="0">
      <w:start w:val="1"/>
      <w:numFmt w:val="decimal"/>
      <w:lvlText w:val="%1.%2.%3.%4.%5.%6.%7.%8.%9"/>
      <w:lvlJc w:val="left"/>
      <w:pPr>
        <w:ind w:left="906" w:hanging="1584"/>
      </w:pPr>
      <w:rPr>
        <w:rFonts w:hint="eastAsia"/>
      </w:rPr>
    </w:lvl>
  </w:abstractNum>
  <w:abstractNum w:abstractNumId="7">
    <w:nsid w:val="00000006"/>
    <w:multiLevelType w:val="multilevel"/>
    <w:tmpl w:val="00000006"/>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0000007"/>
    <w:multiLevelType w:val="singleLevel"/>
    <w:tmpl w:val="00000007"/>
    <w:lvl w:ilvl="0" w:tentative="0">
      <w:start w:val="1"/>
      <w:numFmt w:val="decimal"/>
      <w:pStyle w:val="95"/>
      <w:lvlText w:val="表%1."/>
      <w:lvlJc w:val="left"/>
      <w:pPr>
        <w:tabs>
          <w:tab w:val="left" w:pos="397"/>
        </w:tabs>
        <w:ind w:left="454" w:hanging="454"/>
      </w:pPr>
      <w:rPr>
        <w:rFonts w:hint="default"/>
      </w:rPr>
    </w:lvl>
  </w:abstractNum>
  <w:abstractNum w:abstractNumId="9">
    <w:nsid w:val="00000009"/>
    <w:multiLevelType w:val="multilevel"/>
    <w:tmpl w:val="00000009"/>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0A"/>
    <w:multiLevelType w:val="singleLevel"/>
    <w:tmpl w:val="0000000A"/>
    <w:lvl w:ilvl="0" w:tentative="0">
      <w:start w:val="1"/>
      <w:numFmt w:val="decimal"/>
      <w:pStyle w:val="84"/>
      <w:suff w:val="nothing"/>
      <w:lvlText w:val="附图%1"/>
      <w:lvlJc w:val="left"/>
      <w:pPr>
        <w:tabs>
          <w:tab w:val="left" w:pos="0"/>
        </w:tabs>
        <w:ind w:left="0" w:firstLine="0"/>
      </w:pPr>
      <w:rPr>
        <w:rFonts w:hint="default" w:ascii="宋体" w:hAnsi="宋体" w:eastAsia="宋体" w:cs="宋体"/>
      </w:rPr>
    </w:lvl>
  </w:abstractNum>
  <w:abstractNum w:abstractNumId="11">
    <w:nsid w:val="0000000B"/>
    <w:multiLevelType w:val="singleLevel"/>
    <w:tmpl w:val="0000000B"/>
    <w:lvl w:ilvl="0" w:tentative="0">
      <w:start w:val="6"/>
      <w:numFmt w:val="chineseCounting"/>
      <w:suff w:val="nothing"/>
      <w:lvlText w:val="%1、"/>
      <w:lvlJc w:val="left"/>
      <w:rPr>
        <w:rFonts w:hint="eastAsia"/>
      </w:rPr>
    </w:lvl>
  </w:abstractNum>
  <w:abstractNum w:abstractNumId="12">
    <w:nsid w:val="0000000C"/>
    <w:multiLevelType w:val="singleLevel"/>
    <w:tmpl w:val="0000000C"/>
    <w:lvl w:ilvl="0" w:tentative="0">
      <w:start w:val="4"/>
      <w:numFmt w:val="decimal"/>
      <w:suff w:val="nothing"/>
      <w:lvlText w:val="%1、"/>
      <w:lvlJc w:val="left"/>
    </w:lvl>
  </w:abstractNum>
  <w:abstractNum w:abstractNumId="13">
    <w:nsid w:val="06B167D4"/>
    <w:multiLevelType w:val="multilevel"/>
    <w:tmpl w:val="06B167D4"/>
    <w:lvl w:ilvl="0" w:tentative="0">
      <w:start w:val="1"/>
      <w:numFmt w:val="decimal"/>
      <w:lvlText w:val="%1"/>
      <w:lvlJc w:val="left"/>
      <w:pPr>
        <w:ind w:left="-246" w:hanging="432"/>
      </w:pPr>
      <w:rPr>
        <w:rFonts w:hint="eastAsia"/>
      </w:rPr>
    </w:lvl>
    <w:lvl w:ilvl="1" w:tentative="0">
      <w:start w:val="1"/>
      <w:numFmt w:val="decimal"/>
      <w:lvlText w:val="%1.%2"/>
      <w:lvlJc w:val="left"/>
      <w:pPr>
        <w:ind w:left="2419" w:hanging="576"/>
      </w:pPr>
      <w:rPr>
        <w:rFonts w:hint="default" w:ascii="Times New Roman" w:hAnsi="Times New Roman"/>
        <w:b/>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lvlText w:val="%1.%2.%3"/>
      <w:lvlJc w:val="left"/>
      <w:pPr>
        <w:ind w:left="0" w:firstLine="0"/>
      </w:pPr>
    </w:lvl>
    <w:lvl w:ilvl="3" w:tentative="0">
      <w:start w:val="1"/>
      <w:numFmt w:val="decimal"/>
      <w:lvlText w:val="%1.%2.%3.%4"/>
      <w:lvlJc w:val="left"/>
      <w:pPr>
        <w:ind w:left="612" w:hanging="864"/>
      </w:pPr>
    </w:lvl>
    <w:lvl w:ilvl="4" w:tentative="0">
      <w:start w:val="1"/>
      <w:numFmt w:val="decimal"/>
      <w:pStyle w:val="3"/>
      <w:lvlText w:val="%1.%2.%3.%4.%5"/>
      <w:lvlJc w:val="left"/>
      <w:pPr>
        <w:ind w:left="330" w:hanging="1008"/>
      </w:pPr>
      <w:rPr>
        <w:rFonts w:hint="eastAsia"/>
        <w:lang w:val="en-US"/>
      </w:rPr>
    </w:lvl>
    <w:lvl w:ilvl="5" w:tentative="0">
      <w:start w:val="1"/>
      <w:numFmt w:val="decimal"/>
      <w:lvlText w:val="%1.%2.%3.%4.%5.%6"/>
      <w:lvlJc w:val="left"/>
      <w:pPr>
        <w:ind w:left="474" w:hanging="1152"/>
      </w:pPr>
      <w:rPr>
        <w:rFonts w:hint="eastAsia"/>
      </w:rPr>
    </w:lvl>
    <w:lvl w:ilvl="6" w:tentative="0">
      <w:start w:val="1"/>
      <w:numFmt w:val="decimal"/>
      <w:lvlText w:val="%1.%2.%3.%4.%5.%6.%7"/>
      <w:lvlJc w:val="left"/>
      <w:pPr>
        <w:ind w:left="618" w:hanging="1296"/>
      </w:pPr>
      <w:rPr>
        <w:rFonts w:hint="eastAsia"/>
      </w:rPr>
    </w:lvl>
    <w:lvl w:ilvl="7" w:tentative="0">
      <w:start w:val="1"/>
      <w:numFmt w:val="decimal"/>
      <w:lvlText w:val="%1.%2.%3.%4.%5.%6.%7.%8"/>
      <w:lvlJc w:val="left"/>
      <w:pPr>
        <w:ind w:left="762" w:hanging="1440"/>
      </w:pPr>
      <w:rPr>
        <w:rFonts w:hint="eastAsia"/>
      </w:rPr>
    </w:lvl>
    <w:lvl w:ilvl="8" w:tentative="0">
      <w:start w:val="1"/>
      <w:numFmt w:val="decimal"/>
      <w:lvlText w:val="%1.%2.%3.%4.%5.%6.%7.%8.%9"/>
      <w:lvlJc w:val="left"/>
      <w:pPr>
        <w:ind w:left="906" w:hanging="1584"/>
      </w:pPr>
      <w:rPr>
        <w:rFonts w:hint="eastAsia"/>
      </w:rPr>
    </w:lvl>
  </w:abstractNum>
  <w:abstractNum w:abstractNumId="14">
    <w:nsid w:val="34AA0973"/>
    <w:multiLevelType w:val="singleLevel"/>
    <w:tmpl w:val="34AA0973"/>
    <w:lvl w:ilvl="0" w:tentative="0">
      <w:start w:val="2"/>
      <w:numFmt w:val="decimal"/>
      <w:suff w:val="nothing"/>
      <w:lvlText w:val="%1、"/>
      <w:lvlJc w:val="left"/>
    </w:lvl>
  </w:abstractNum>
  <w:num w:numId="1">
    <w:abstractNumId w:val="3"/>
  </w:num>
  <w:num w:numId="2">
    <w:abstractNumId w:val="13"/>
  </w:num>
  <w:num w:numId="3">
    <w:abstractNumId w:val="6"/>
  </w:num>
  <w:num w:numId="4">
    <w:abstractNumId w:val="5"/>
  </w:num>
  <w:num w:numId="5">
    <w:abstractNumId w:val="10"/>
  </w:num>
  <w:num w:numId="6">
    <w:abstractNumId w:val="4"/>
  </w:num>
  <w:num w:numId="7">
    <w:abstractNumId w:val="2"/>
  </w:num>
  <w:num w:numId="8">
    <w:abstractNumId w:val="8"/>
  </w:num>
  <w:num w:numId="9">
    <w:abstractNumId w:val="14"/>
  </w:num>
  <w:num w:numId="10">
    <w:abstractNumId w:val="12"/>
  </w:num>
  <w:num w:numId="11">
    <w:abstractNumId w:val="0"/>
  </w:num>
  <w:num w:numId="12">
    <w:abstractNumId w:val="7"/>
  </w:num>
  <w:num w:numId="13">
    <w:abstractNumId w:val="1"/>
  </w:num>
  <w:num w:numId="14">
    <w:abstractNumId w:val="9"/>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bordersDoNotSurroundHeader w:val="0"/>
  <w:bordersDoNotSurroundFooter w:val="0"/>
  <w:doNotTrackMoves/>
  <w:documentProtection w:edit="trackedChanges" w:enforcement="0"/>
  <w:defaultTabStop w:val="420"/>
  <w:doNotHyphenateCaps/>
  <w:drawingGridHorizontalSpacing w:val="106"/>
  <w:drawingGridVerticalSpacing w:val="161"/>
  <w:displayHorizontalDrawingGridEvery w:val="1"/>
  <w:displayVerticalDrawingGridEvery w:val="1"/>
  <w:noPunctuationKerning w:val="1"/>
  <w:characterSpacingControl w:val="compressPunctuation"/>
  <w:strictFirstAndLastChars w:val="1"/>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5"/>
    <w:compatSetting w:name="enableOpenTypeFeatures" w:uri="http://schemas.microsoft.com/office/word" w:val="1"/>
    <w:compatSetting w:name="doNotFlipMirrorIndents" w:uri="http://schemas.microsoft.com/office/word" w:val="1"/>
  </w:compat>
  <w:docVars>
    <w:docVar w:name="commondata" w:val="eyJoZGlkIjoiYWE2NjI3NmE4YTVmOGNiNGZlZWVkOGNhYTVmODNlZjcifQ=="/>
  </w:docVars>
  <w:rsids>
    <w:rsidRoot w:val="00172A27"/>
    <w:rsid w:val="01722C8D"/>
    <w:rsid w:val="019D64CD"/>
    <w:rsid w:val="033D0FF8"/>
    <w:rsid w:val="0402322C"/>
    <w:rsid w:val="049C1069"/>
    <w:rsid w:val="05263B5D"/>
    <w:rsid w:val="05806920"/>
    <w:rsid w:val="05EA5C55"/>
    <w:rsid w:val="06384796"/>
    <w:rsid w:val="06B42754"/>
    <w:rsid w:val="07780CF8"/>
    <w:rsid w:val="07A008EF"/>
    <w:rsid w:val="081A614A"/>
    <w:rsid w:val="084E1932"/>
    <w:rsid w:val="08C46FC5"/>
    <w:rsid w:val="09271F16"/>
    <w:rsid w:val="09476573"/>
    <w:rsid w:val="096B44A2"/>
    <w:rsid w:val="0B2E0C63"/>
    <w:rsid w:val="0B927856"/>
    <w:rsid w:val="0CAF1891"/>
    <w:rsid w:val="0CD30126"/>
    <w:rsid w:val="0D606A3E"/>
    <w:rsid w:val="0E622F9B"/>
    <w:rsid w:val="104D4104"/>
    <w:rsid w:val="10A87B1C"/>
    <w:rsid w:val="12053F41"/>
    <w:rsid w:val="12881647"/>
    <w:rsid w:val="13963C54"/>
    <w:rsid w:val="14C0248F"/>
    <w:rsid w:val="14EB71EE"/>
    <w:rsid w:val="16213887"/>
    <w:rsid w:val="163D0D06"/>
    <w:rsid w:val="168B7CC4"/>
    <w:rsid w:val="16CA07EC"/>
    <w:rsid w:val="18D30568"/>
    <w:rsid w:val="194C3802"/>
    <w:rsid w:val="19F94F44"/>
    <w:rsid w:val="1AE41769"/>
    <w:rsid w:val="1B886580"/>
    <w:rsid w:val="1CDD28FB"/>
    <w:rsid w:val="1CE827E8"/>
    <w:rsid w:val="1D623C6A"/>
    <w:rsid w:val="1D70551D"/>
    <w:rsid w:val="1E510911"/>
    <w:rsid w:val="1F507119"/>
    <w:rsid w:val="1FBE0451"/>
    <w:rsid w:val="203C5B8B"/>
    <w:rsid w:val="216D6E43"/>
    <w:rsid w:val="227A3BA7"/>
    <w:rsid w:val="23E1487D"/>
    <w:rsid w:val="2506624D"/>
    <w:rsid w:val="25382DC5"/>
    <w:rsid w:val="26FA74DB"/>
    <w:rsid w:val="27F05BD9"/>
    <w:rsid w:val="2920658B"/>
    <w:rsid w:val="29503FB4"/>
    <w:rsid w:val="29F05886"/>
    <w:rsid w:val="2A046B59"/>
    <w:rsid w:val="2B141BDE"/>
    <w:rsid w:val="2B9D7E95"/>
    <w:rsid w:val="2BB46BDB"/>
    <w:rsid w:val="2C900843"/>
    <w:rsid w:val="2DCA3A98"/>
    <w:rsid w:val="2F5C6631"/>
    <w:rsid w:val="2F9273BF"/>
    <w:rsid w:val="30F074D3"/>
    <w:rsid w:val="31012478"/>
    <w:rsid w:val="3224359D"/>
    <w:rsid w:val="3301513E"/>
    <w:rsid w:val="339746F7"/>
    <w:rsid w:val="35447643"/>
    <w:rsid w:val="358D2CB9"/>
    <w:rsid w:val="37B45FC9"/>
    <w:rsid w:val="38EE0D23"/>
    <w:rsid w:val="390822E7"/>
    <w:rsid w:val="39625959"/>
    <w:rsid w:val="397B72CC"/>
    <w:rsid w:val="3A7B0598"/>
    <w:rsid w:val="3BD67C19"/>
    <w:rsid w:val="3C1030BE"/>
    <w:rsid w:val="3C5E0F0B"/>
    <w:rsid w:val="3C5E53AF"/>
    <w:rsid w:val="3D694392"/>
    <w:rsid w:val="3D9C0D3E"/>
    <w:rsid w:val="3E08778A"/>
    <w:rsid w:val="3E3F2FBE"/>
    <w:rsid w:val="3F033FEC"/>
    <w:rsid w:val="3F9F1F66"/>
    <w:rsid w:val="40456F0C"/>
    <w:rsid w:val="404A19E8"/>
    <w:rsid w:val="409E2775"/>
    <w:rsid w:val="42C469B9"/>
    <w:rsid w:val="441D58D8"/>
    <w:rsid w:val="455040FB"/>
    <w:rsid w:val="455455A1"/>
    <w:rsid w:val="47D324C5"/>
    <w:rsid w:val="497F6965"/>
    <w:rsid w:val="498C1E5F"/>
    <w:rsid w:val="4A8554C1"/>
    <w:rsid w:val="4B0C61BF"/>
    <w:rsid w:val="4BD5718E"/>
    <w:rsid w:val="4C560112"/>
    <w:rsid w:val="4C912C37"/>
    <w:rsid w:val="4D9017F0"/>
    <w:rsid w:val="4F110E00"/>
    <w:rsid w:val="4F95534D"/>
    <w:rsid w:val="4FC926E8"/>
    <w:rsid w:val="51CB348D"/>
    <w:rsid w:val="5207043F"/>
    <w:rsid w:val="52B575BE"/>
    <w:rsid w:val="530F38DB"/>
    <w:rsid w:val="55B95F2B"/>
    <w:rsid w:val="56657940"/>
    <w:rsid w:val="577C63AF"/>
    <w:rsid w:val="583F5C3D"/>
    <w:rsid w:val="59051CDF"/>
    <w:rsid w:val="590C71B7"/>
    <w:rsid w:val="5A8535B8"/>
    <w:rsid w:val="5BBC6C4A"/>
    <w:rsid w:val="5C4D4754"/>
    <w:rsid w:val="5D023974"/>
    <w:rsid w:val="5D5C103F"/>
    <w:rsid w:val="5E8A5738"/>
    <w:rsid w:val="5F085981"/>
    <w:rsid w:val="622B0062"/>
    <w:rsid w:val="63620A31"/>
    <w:rsid w:val="63DF6526"/>
    <w:rsid w:val="64066E18"/>
    <w:rsid w:val="64575A83"/>
    <w:rsid w:val="6482561F"/>
    <w:rsid w:val="66330E72"/>
    <w:rsid w:val="67A416D2"/>
    <w:rsid w:val="68BE2E92"/>
    <w:rsid w:val="695939B4"/>
    <w:rsid w:val="69715746"/>
    <w:rsid w:val="69B67D29"/>
    <w:rsid w:val="6A434AB4"/>
    <w:rsid w:val="6A5E53CA"/>
    <w:rsid w:val="6A7F011B"/>
    <w:rsid w:val="6A9E21F4"/>
    <w:rsid w:val="6B1663C4"/>
    <w:rsid w:val="6D512CA7"/>
    <w:rsid w:val="6DDC5DDA"/>
    <w:rsid w:val="6DF04E8A"/>
    <w:rsid w:val="6FBE42D9"/>
    <w:rsid w:val="7040034C"/>
    <w:rsid w:val="706B0F17"/>
    <w:rsid w:val="70FD7FEB"/>
    <w:rsid w:val="71336E54"/>
    <w:rsid w:val="72F677CB"/>
    <w:rsid w:val="73113900"/>
    <w:rsid w:val="73C45BBB"/>
    <w:rsid w:val="7549241A"/>
    <w:rsid w:val="77080A66"/>
    <w:rsid w:val="7866291A"/>
    <w:rsid w:val="78A52AE0"/>
    <w:rsid w:val="79675D37"/>
    <w:rsid w:val="7C224DAA"/>
    <w:rsid w:val="7E1C71BF"/>
    <w:rsid w:val="7F1F1D0C"/>
    <w:rsid w:val="7F880CC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9"/>
    <w:pPr>
      <w:keepNext/>
      <w:keepLines/>
      <w:widowControl w:val="0"/>
      <w:numPr>
        <w:ilvl w:val="0"/>
        <w:numId w:val="1"/>
      </w:numPr>
      <w:spacing w:before="120" w:after="120"/>
      <w:ind w:left="0" w:firstLine="0" w:firstLineChars="0"/>
      <w:jc w:val="left"/>
      <w:outlineLvl w:val="0"/>
    </w:pPr>
    <w:rPr>
      <w:rFonts w:ascii="Times New Roman" w:hAnsi="Times New Roman" w:eastAsia="宋体"/>
      <w:b/>
      <w:bCs/>
      <w:kern w:val="44"/>
      <w:sz w:val="44"/>
      <w:szCs w:val="44"/>
    </w:rPr>
  </w:style>
  <w:style w:type="paragraph" w:styleId="3">
    <w:name w:val="heading 5"/>
    <w:basedOn w:val="1"/>
    <w:next w:val="1"/>
    <w:autoRedefine/>
    <w:semiHidden/>
    <w:unhideWhenUsed/>
    <w:qFormat/>
    <w:uiPriority w:val="0"/>
    <w:pPr>
      <w:keepNext/>
      <w:keepLines/>
      <w:numPr>
        <w:ilvl w:val="4"/>
        <w:numId w:val="2"/>
      </w:numPr>
      <w:spacing w:before="280" w:beforeLines="0" w:beforeAutospacing="0" w:after="290" w:afterLines="0" w:afterAutospacing="0" w:line="372" w:lineRule="auto"/>
      <w:ind w:left="330" w:hanging="1008"/>
      <w:outlineLvl w:val="4"/>
    </w:pPr>
    <w:rPr>
      <w:b/>
      <w:sz w:val="28"/>
    </w:rPr>
  </w:style>
  <w:style w:type="character" w:default="1" w:styleId="21">
    <w:name w:val="Default Paragraph Font"/>
    <w:autoRedefine/>
    <w:qFormat/>
    <w:uiPriority w:val="0"/>
  </w:style>
  <w:style w:type="table" w:default="1" w:styleId="19">
    <w:name w:val="Normal Table"/>
    <w:autoRedefine/>
    <w:qFormat/>
    <w:uiPriority w:val="0"/>
    <w:tblPr>
      <w:tblCellMar>
        <w:top w:w="0" w:type="dxa"/>
        <w:left w:w="108" w:type="dxa"/>
        <w:bottom w:w="0" w:type="dxa"/>
        <w:right w:w="108" w:type="dxa"/>
      </w:tblCellMar>
    </w:tblPr>
  </w:style>
  <w:style w:type="paragraph" w:styleId="4">
    <w:name w:val="E-mail Signature"/>
    <w:basedOn w:val="1"/>
    <w:next w:val="5"/>
    <w:autoRedefine/>
    <w:qFormat/>
    <w:uiPriority w:val="0"/>
    <w:pPr>
      <w:spacing w:line="460" w:lineRule="exact"/>
      <w:ind w:firstLine="200"/>
    </w:pPr>
  </w:style>
  <w:style w:type="paragraph" w:customStyle="1" w:styleId="5">
    <w:name w:val="文章"/>
    <w:basedOn w:val="6"/>
    <w:next w:val="7"/>
    <w:autoRedefine/>
    <w:qFormat/>
    <w:uiPriority w:val="0"/>
    <w:pPr>
      <w:widowControl/>
      <w:ind w:left="420"/>
      <w:jc w:val="center"/>
    </w:pPr>
    <w:rPr>
      <w:sz w:val="26"/>
    </w:rPr>
  </w:style>
  <w:style w:type="paragraph" w:styleId="6">
    <w:name w:val="Body Text Indent"/>
    <w:basedOn w:val="1"/>
    <w:qFormat/>
    <w:uiPriority w:val="0"/>
    <w:pPr>
      <w:spacing w:after="120"/>
      <w:ind w:left="420" w:leftChars="200"/>
    </w:pPr>
    <w:rPr>
      <w:kern w:val="0"/>
      <w:sz w:val="24"/>
      <w:szCs w:val="20"/>
    </w:rPr>
  </w:style>
  <w:style w:type="paragraph" w:styleId="7">
    <w:name w:val="List"/>
    <w:basedOn w:val="1"/>
    <w:next w:val="1"/>
    <w:qFormat/>
    <w:uiPriority w:val="0"/>
    <w:pPr>
      <w:ind w:left="200" w:hanging="200" w:hangingChars="200"/>
      <w:contextualSpacing/>
    </w:pPr>
  </w:style>
  <w:style w:type="paragraph" w:styleId="8">
    <w:name w:val="Normal Indent"/>
    <w:basedOn w:val="1"/>
    <w:next w:val="1"/>
    <w:qFormat/>
    <w:uiPriority w:val="0"/>
    <w:pPr>
      <w:ind w:firstLine="420"/>
    </w:pPr>
    <w:rPr>
      <w:rFonts w:ascii="Times New Roman" w:hAnsi="Times New Roman" w:eastAsia="宋体" w:cs="Times New Roman"/>
      <w:szCs w:val="20"/>
    </w:rPr>
  </w:style>
  <w:style w:type="paragraph" w:styleId="9">
    <w:name w:val="annotation text"/>
    <w:basedOn w:val="1"/>
    <w:qFormat/>
    <w:uiPriority w:val="0"/>
    <w:pPr>
      <w:jc w:val="left"/>
    </w:pPr>
  </w:style>
  <w:style w:type="paragraph" w:styleId="10">
    <w:name w:val="Body Text"/>
    <w:basedOn w:val="1"/>
    <w:next w:val="11"/>
    <w:autoRedefine/>
    <w:qFormat/>
    <w:uiPriority w:val="0"/>
    <w:pPr>
      <w:widowControl/>
      <w:snapToGrid w:val="0"/>
      <w:spacing w:before="60" w:after="160" w:line="259" w:lineRule="auto"/>
      <w:ind w:right="113"/>
    </w:pPr>
    <w:rPr>
      <w:kern w:val="0"/>
      <w:sz w:val="18"/>
      <w:szCs w:val="20"/>
    </w:rPr>
  </w:style>
  <w:style w:type="paragraph" w:styleId="11">
    <w:name w:val="toc 5"/>
    <w:basedOn w:val="1"/>
    <w:next w:val="1"/>
    <w:autoRedefine/>
    <w:qFormat/>
    <w:uiPriority w:val="0"/>
    <w:pPr>
      <w:ind w:left="1680"/>
    </w:pPr>
    <w:rPr>
      <w:rFonts w:ascii="Times New Roman" w:hAnsi="Times New Roman" w:eastAsia="宋体" w:cs="Times New Roman"/>
    </w:rPr>
  </w:style>
  <w:style w:type="paragraph" w:styleId="12">
    <w:name w:val="Block Text"/>
    <w:basedOn w:val="1"/>
    <w:qFormat/>
    <w:uiPriority w:val="0"/>
    <w:pPr>
      <w:snapToGrid w:val="0"/>
      <w:spacing w:before="180" w:line="380" w:lineRule="atLeast"/>
      <w:ind w:left="142" w:right="170" w:firstLine="476"/>
    </w:pPr>
    <w:rPr>
      <w:rFonts w:ascii="Times New Roman" w:hAnsi="Times New Roman" w:eastAsia="宋体" w:cs="Times New Roman"/>
      <w:sz w:val="24"/>
      <w:szCs w:val="20"/>
    </w:rPr>
  </w:style>
  <w:style w:type="paragraph" w:styleId="13">
    <w:name w:val="Plain Text"/>
    <w:basedOn w:val="1"/>
    <w:next w:val="14"/>
    <w:autoRedefine/>
    <w:qFormat/>
    <w:uiPriority w:val="0"/>
    <w:pPr>
      <w:autoSpaceDE w:val="0"/>
      <w:autoSpaceDN w:val="0"/>
      <w:adjustRightInd w:val="0"/>
      <w:spacing w:line="312" w:lineRule="atLeast"/>
      <w:textAlignment w:val="baseline"/>
    </w:pPr>
    <w:rPr>
      <w:rFonts w:ascii="宋体" w:hAnsi="Tms Rmn"/>
      <w:kern w:val="0"/>
      <w:szCs w:val="20"/>
    </w:rPr>
  </w:style>
  <w:style w:type="paragraph" w:styleId="14">
    <w:name w:val="toc 1"/>
    <w:basedOn w:val="1"/>
    <w:next w:val="1"/>
    <w:autoRedefine/>
    <w:qFormat/>
    <w:uiPriority w:val="0"/>
  </w:style>
  <w:style w:type="paragraph" w:styleId="15">
    <w:name w:val="footer"/>
    <w:basedOn w:val="1"/>
    <w:autoRedefine/>
    <w:qFormat/>
    <w:uiPriority w:val="99"/>
    <w:pPr>
      <w:tabs>
        <w:tab w:val="center" w:pos="4153"/>
        <w:tab w:val="right" w:pos="8306"/>
      </w:tabs>
      <w:snapToGrid w:val="0"/>
      <w:jc w:val="left"/>
    </w:pPr>
    <w:rPr>
      <w:kern w:val="0"/>
      <w:sz w:val="18"/>
      <w:szCs w:val="20"/>
    </w:rPr>
  </w:style>
  <w:style w:type="paragraph" w:styleId="16">
    <w:name w:val="toc 2"/>
    <w:basedOn w:val="1"/>
    <w:next w:val="4"/>
    <w:autoRedefine/>
    <w:qFormat/>
    <w:uiPriority w:val="39"/>
    <w:pPr>
      <w:widowControl w:val="0"/>
      <w:ind w:left="420" w:leftChars="200"/>
      <w:jc w:val="both"/>
    </w:pPr>
    <w:rPr>
      <w:rFonts w:ascii="Times New Roman" w:hAnsi="Times New Roman" w:eastAsia="宋体" w:cs="Times New Roman"/>
      <w:kern w:val="2"/>
      <w:sz w:val="21"/>
      <w:szCs w:val="24"/>
      <w:lang w:val="en-US" w:eastAsia="zh-CN" w:bidi="ar-SA"/>
    </w:rPr>
  </w:style>
  <w:style w:type="paragraph" w:styleId="17">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paragraph" w:styleId="18">
    <w:name w:val="Body Text First Indent 2"/>
    <w:basedOn w:val="6"/>
    <w:autoRedefine/>
    <w:qFormat/>
    <w:uiPriority w:val="0"/>
    <w:pPr>
      <w:adjustRightInd/>
      <w:spacing w:after="120" w:line="240" w:lineRule="auto"/>
      <w:ind w:left="420" w:leftChars="200" w:firstLine="420" w:firstLineChars="200"/>
      <w:textAlignment w:val="auto"/>
    </w:pPr>
    <w:rPr>
      <w:spacing w:val="0"/>
      <w:kern w:val="2"/>
      <w:sz w:val="21"/>
      <w:szCs w:val="24"/>
      <w:lang w:val="en-US"/>
    </w:rPr>
  </w:style>
  <w:style w:type="table" w:styleId="20">
    <w:name w:val="Table Grid"/>
    <w:autoRedefine/>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2">
    <w:name w:val="page number"/>
    <w:autoRedefine/>
    <w:qFormat/>
    <w:uiPriority w:val="0"/>
  </w:style>
  <w:style w:type="character" w:styleId="23">
    <w:name w:val="Hyperlink"/>
    <w:basedOn w:val="21"/>
    <w:autoRedefine/>
    <w:qFormat/>
    <w:uiPriority w:val="0"/>
    <w:rPr>
      <w:color w:val="0000FF"/>
      <w:u w:val="single"/>
    </w:rPr>
  </w:style>
  <w:style w:type="paragraph" w:customStyle="1" w:styleId="24">
    <w:name w:val="Default"/>
    <w:basedOn w:val="25"/>
    <w:next w:val="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5">
    <w:name w:val="纯文本1"/>
    <w:basedOn w:val="1"/>
    <w:autoRedefine/>
    <w:qFormat/>
    <w:uiPriority w:val="0"/>
    <w:rPr>
      <w:rFonts w:ascii="宋体" w:hAnsi="Courier New"/>
      <w:szCs w:val="21"/>
    </w:rPr>
  </w:style>
  <w:style w:type="paragraph" w:customStyle="1" w:styleId="26">
    <w:name w:val="Normal Indent1"/>
    <w:basedOn w:val="1"/>
    <w:autoRedefine/>
    <w:qFormat/>
    <w:uiPriority w:val="0"/>
    <w:pPr>
      <w:ind w:firstLine="420"/>
    </w:pPr>
  </w:style>
  <w:style w:type="paragraph" w:customStyle="1" w:styleId="27">
    <w:name w:val="Default1"/>
    <w:basedOn w:val="28"/>
    <w:next w:val="29"/>
    <w:autoRedefine/>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28">
    <w:name w:val="表格文字01"/>
    <w:basedOn w:val="1"/>
    <w:autoRedefine/>
    <w:qFormat/>
    <w:uiPriority w:val="0"/>
    <w:pPr>
      <w:wordWrap w:val="0"/>
      <w:overflowPunct w:val="0"/>
      <w:topLinePunct/>
      <w:jc w:val="center"/>
    </w:pPr>
    <w:rPr>
      <w:rFonts w:ascii="Arial" w:hAnsi="Arial"/>
      <w:snapToGrid w:val="0"/>
      <w:color w:val="000000"/>
      <w:szCs w:val="20"/>
    </w:rPr>
  </w:style>
  <w:style w:type="paragraph" w:customStyle="1" w:styleId="29">
    <w:name w:val="正文样式1"/>
    <w:basedOn w:val="1"/>
    <w:next w:val="1"/>
    <w:autoRedefine/>
    <w:qFormat/>
    <w:uiPriority w:val="0"/>
    <w:pPr>
      <w:adjustRightInd w:val="0"/>
      <w:spacing w:line="360" w:lineRule="auto"/>
      <w:ind w:firstLine="360" w:firstLineChars="150"/>
      <w:textAlignment w:val="baseline"/>
    </w:pPr>
    <w:rPr>
      <w:rFonts w:ascii="宋体" w:hAnsi="宋体"/>
      <w:color w:val="FF0000"/>
      <w:kern w:val="0"/>
      <w:sz w:val="24"/>
      <w:szCs w:val="20"/>
    </w:rPr>
  </w:style>
  <w:style w:type="paragraph" w:customStyle="1" w:styleId="30">
    <w:name w:val="标题 1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customStyle="1" w:styleId="31">
    <w:name w:val="标题 21"/>
    <w:basedOn w:val="1"/>
    <w:next w:val="1"/>
    <w:autoRedefine/>
    <w:qFormat/>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en-AU"/>
    </w:rPr>
  </w:style>
  <w:style w:type="paragraph" w:customStyle="1" w:styleId="32">
    <w:name w:val="标题 51"/>
    <w:basedOn w:val="1"/>
    <w:next w:val="1"/>
    <w:autoRedefine/>
    <w:qFormat/>
    <w:uiPriority w:val="0"/>
    <w:pPr>
      <w:keepNext/>
      <w:keepLines/>
      <w:numPr>
        <w:ilvl w:val="4"/>
        <w:numId w:val="3"/>
      </w:numPr>
      <w:spacing w:before="280" w:beforeAutospacing="0" w:after="290" w:afterAutospacing="0" w:line="372" w:lineRule="auto"/>
      <w:ind w:left="330" w:hanging="1008"/>
      <w:outlineLvl w:val="4"/>
    </w:pPr>
    <w:rPr>
      <w:b/>
      <w:sz w:val="28"/>
    </w:rPr>
  </w:style>
  <w:style w:type="paragraph" w:customStyle="1" w:styleId="33">
    <w:name w:val="标题 81"/>
    <w:basedOn w:val="1"/>
    <w:next w:val="1"/>
    <w:autoRedefine/>
    <w:qFormat/>
    <w:uiPriority w:val="0"/>
    <w:pPr>
      <w:keepNext/>
      <w:keepLines/>
      <w:numPr>
        <w:ilvl w:val="0"/>
        <w:numId w:val="4"/>
      </w:numPr>
      <w:jc w:val="center"/>
      <w:outlineLvl w:val="7"/>
    </w:pPr>
    <w:rPr>
      <w:b/>
      <w:lang w:val="zh-CN"/>
    </w:rPr>
  </w:style>
  <w:style w:type="character" w:customStyle="1" w:styleId="34">
    <w:name w:val="默认段落字体1"/>
    <w:autoRedefine/>
    <w:qFormat/>
    <w:uiPriority w:val="0"/>
  </w:style>
  <w:style w:type="table" w:customStyle="1" w:styleId="35">
    <w:name w:val="普通表格1"/>
    <w:qFormat/>
    <w:uiPriority w:val="0"/>
    <w:tblPr>
      <w:tblCellMar>
        <w:top w:w="0" w:type="dxa"/>
        <w:left w:w="108" w:type="dxa"/>
        <w:bottom w:w="0" w:type="dxa"/>
        <w:right w:w="108" w:type="dxa"/>
      </w:tblCellMar>
    </w:tblPr>
  </w:style>
  <w:style w:type="paragraph" w:customStyle="1" w:styleId="36">
    <w:name w:val="电子邮件签名1"/>
    <w:basedOn w:val="1"/>
    <w:next w:val="5"/>
    <w:autoRedefine/>
    <w:qFormat/>
    <w:uiPriority w:val="0"/>
    <w:pPr>
      <w:spacing w:line="460" w:lineRule="exact"/>
      <w:ind w:firstLine="200"/>
    </w:pPr>
  </w:style>
  <w:style w:type="paragraph" w:customStyle="1" w:styleId="37">
    <w:name w:val="正文文本缩进1"/>
    <w:basedOn w:val="1"/>
    <w:link w:val="39"/>
    <w:autoRedefine/>
    <w:qFormat/>
    <w:uiPriority w:val="0"/>
    <w:pPr>
      <w:spacing w:after="120"/>
      <w:ind w:left="420" w:leftChars="200"/>
    </w:pPr>
    <w:rPr>
      <w:kern w:val="0"/>
      <w:sz w:val="24"/>
      <w:szCs w:val="20"/>
    </w:rPr>
  </w:style>
  <w:style w:type="paragraph" w:customStyle="1" w:styleId="38">
    <w:name w:val="列表1"/>
    <w:basedOn w:val="1"/>
    <w:next w:val="1"/>
    <w:autoRedefine/>
    <w:qFormat/>
    <w:uiPriority w:val="0"/>
    <w:pPr>
      <w:ind w:left="200" w:hanging="200" w:hangingChars="200"/>
      <w:contextualSpacing/>
    </w:pPr>
  </w:style>
  <w:style w:type="character" w:customStyle="1" w:styleId="39">
    <w:name w:val="正文文本缩进 字符"/>
    <w:link w:val="37"/>
    <w:autoRedefine/>
    <w:qFormat/>
    <w:uiPriority w:val="0"/>
    <w:rPr>
      <w:rFonts w:ascii="Times New Roman" w:hAnsi="Times New Roman" w:eastAsia="宋体"/>
      <w:sz w:val="24"/>
    </w:rPr>
  </w:style>
  <w:style w:type="paragraph" w:customStyle="1" w:styleId="40">
    <w:name w:val="正文缩进11"/>
    <w:basedOn w:val="1"/>
    <w:next w:val="1"/>
    <w:autoRedefine/>
    <w:qFormat/>
    <w:uiPriority w:val="0"/>
    <w:pPr>
      <w:ind w:firstLine="420"/>
    </w:pPr>
    <w:rPr>
      <w:szCs w:val="20"/>
    </w:rPr>
  </w:style>
  <w:style w:type="paragraph" w:customStyle="1" w:styleId="41">
    <w:name w:val="题注1"/>
    <w:basedOn w:val="1"/>
    <w:next w:val="1"/>
    <w:autoRedefine/>
    <w:qFormat/>
    <w:uiPriority w:val="35"/>
    <w:pPr>
      <w:jc w:val="center"/>
    </w:pPr>
    <w:rPr>
      <w:b/>
      <w:sz w:val="24"/>
      <w:szCs w:val="20"/>
    </w:rPr>
  </w:style>
  <w:style w:type="paragraph" w:customStyle="1" w:styleId="42">
    <w:name w:val="批注文字1"/>
    <w:basedOn w:val="1"/>
    <w:link w:val="43"/>
    <w:autoRedefine/>
    <w:qFormat/>
    <w:uiPriority w:val="0"/>
    <w:pPr>
      <w:jc w:val="left"/>
    </w:pPr>
    <w:rPr>
      <w:kern w:val="0"/>
      <w:sz w:val="24"/>
      <w:szCs w:val="20"/>
    </w:rPr>
  </w:style>
  <w:style w:type="character" w:customStyle="1" w:styleId="43">
    <w:name w:val="批注文字 字符"/>
    <w:link w:val="42"/>
    <w:autoRedefine/>
    <w:qFormat/>
    <w:uiPriority w:val="0"/>
    <w:rPr>
      <w:rFonts w:ascii="Times New Roman" w:hAnsi="Times New Roman" w:eastAsia="宋体"/>
      <w:sz w:val="24"/>
    </w:rPr>
  </w:style>
  <w:style w:type="paragraph" w:customStyle="1" w:styleId="44">
    <w:name w:val="正文文本1"/>
    <w:basedOn w:val="1"/>
    <w:next w:val="40"/>
    <w:link w:val="45"/>
    <w:autoRedefine/>
    <w:qFormat/>
    <w:uiPriority w:val="0"/>
    <w:pPr>
      <w:widowControl/>
      <w:snapToGrid w:val="0"/>
      <w:spacing w:before="60" w:after="160" w:line="259" w:lineRule="auto"/>
      <w:ind w:right="113"/>
    </w:pPr>
    <w:rPr>
      <w:kern w:val="0"/>
      <w:sz w:val="18"/>
      <w:szCs w:val="20"/>
    </w:rPr>
  </w:style>
  <w:style w:type="character" w:customStyle="1" w:styleId="45">
    <w:name w:val="正文文本 字符"/>
    <w:link w:val="44"/>
    <w:autoRedefine/>
    <w:qFormat/>
    <w:uiPriority w:val="0"/>
    <w:rPr>
      <w:sz w:val="18"/>
    </w:rPr>
  </w:style>
  <w:style w:type="paragraph" w:customStyle="1" w:styleId="46">
    <w:name w:val="文本块1"/>
    <w:basedOn w:val="1"/>
    <w:autoRedefine/>
    <w:qFormat/>
    <w:uiPriority w:val="0"/>
    <w:pPr>
      <w:snapToGrid w:val="0"/>
      <w:spacing w:before="180" w:line="380" w:lineRule="atLeast"/>
      <w:ind w:left="142" w:right="170" w:firstLine="476"/>
    </w:pPr>
    <w:rPr>
      <w:sz w:val="24"/>
      <w:szCs w:val="20"/>
    </w:rPr>
  </w:style>
  <w:style w:type="paragraph" w:customStyle="1" w:styleId="47">
    <w:name w:val="目录 51"/>
    <w:basedOn w:val="1"/>
    <w:next w:val="1"/>
    <w:autoRedefine/>
    <w:qFormat/>
    <w:uiPriority w:val="39"/>
    <w:pPr>
      <w:ind w:left="1680"/>
    </w:pPr>
  </w:style>
  <w:style w:type="paragraph" w:customStyle="1" w:styleId="48">
    <w:name w:val="纯文本11"/>
    <w:basedOn w:val="1"/>
    <w:next w:val="49"/>
    <w:autoRedefine/>
    <w:qFormat/>
    <w:uiPriority w:val="0"/>
    <w:pPr>
      <w:autoSpaceDE w:val="0"/>
      <w:autoSpaceDN w:val="0"/>
      <w:adjustRightInd w:val="0"/>
      <w:spacing w:line="312" w:lineRule="atLeast"/>
      <w:textAlignment w:val="baseline"/>
    </w:pPr>
    <w:rPr>
      <w:rFonts w:ascii="宋体" w:hAnsi="Tms Rmn"/>
      <w:kern w:val="0"/>
      <w:szCs w:val="20"/>
    </w:rPr>
  </w:style>
  <w:style w:type="paragraph" w:customStyle="1" w:styleId="49">
    <w:name w:val="目录 11"/>
    <w:basedOn w:val="1"/>
    <w:next w:val="1"/>
    <w:autoRedefine/>
    <w:qFormat/>
    <w:uiPriority w:val="0"/>
  </w:style>
  <w:style w:type="paragraph" w:customStyle="1" w:styleId="50">
    <w:name w:val="日期1"/>
    <w:basedOn w:val="1"/>
    <w:next w:val="1"/>
    <w:link w:val="51"/>
    <w:autoRedefine/>
    <w:qFormat/>
    <w:uiPriority w:val="0"/>
    <w:pPr>
      <w:ind w:left="100" w:leftChars="2500"/>
    </w:pPr>
    <w:rPr>
      <w:kern w:val="0"/>
      <w:sz w:val="24"/>
      <w:szCs w:val="20"/>
    </w:rPr>
  </w:style>
  <w:style w:type="character" w:customStyle="1" w:styleId="51">
    <w:name w:val="日期 字符1"/>
    <w:link w:val="50"/>
    <w:autoRedefine/>
    <w:qFormat/>
    <w:uiPriority w:val="0"/>
    <w:rPr>
      <w:rFonts w:ascii="Times New Roman" w:hAnsi="Times New Roman" w:eastAsia="宋体"/>
      <w:sz w:val="24"/>
    </w:rPr>
  </w:style>
  <w:style w:type="paragraph" w:customStyle="1" w:styleId="52">
    <w:name w:val="正文文本缩进 21"/>
    <w:basedOn w:val="1"/>
    <w:autoRedefine/>
    <w:qFormat/>
    <w:uiPriority w:val="0"/>
    <w:pPr>
      <w:spacing w:after="120" w:line="480" w:lineRule="auto"/>
      <w:ind w:left="420" w:leftChars="200"/>
    </w:pPr>
  </w:style>
  <w:style w:type="paragraph" w:customStyle="1" w:styleId="53">
    <w:name w:val="批注框文本1"/>
    <w:basedOn w:val="1"/>
    <w:link w:val="54"/>
    <w:autoRedefine/>
    <w:qFormat/>
    <w:uiPriority w:val="0"/>
    <w:rPr>
      <w:kern w:val="0"/>
      <w:sz w:val="18"/>
      <w:szCs w:val="20"/>
    </w:rPr>
  </w:style>
  <w:style w:type="character" w:customStyle="1" w:styleId="54">
    <w:name w:val="批注框文本 字符"/>
    <w:link w:val="53"/>
    <w:autoRedefine/>
    <w:qFormat/>
    <w:uiPriority w:val="0"/>
    <w:rPr>
      <w:rFonts w:ascii="Times New Roman" w:hAnsi="Times New Roman" w:eastAsia="宋体"/>
      <w:sz w:val="18"/>
    </w:rPr>
  </w:style>
  <w:style w:type="paragraph" w:customStyle="1" w:styleId="55">
    <w:name w:val="页脚1"/>
    <w:basedOn w:val="1"/>
    <w:link w:val="56"/>
    <w:autoRedefine/>
    <w:qFormat/>
    <w:uiPriority w:val="99"/>
    <w:pPr>
      <w:tabs>
        <w:tab w:val="center" w:pos="4153"/>
        <w:tab w:val="right" w:pos="8306"/>
      </w:tabs>
      <w:snapToGrid w:val="0"/>
      <w:jc w:val="left"/>
    </w:pPr>
    <w:rPr>
      <w:kern w:val="0"/>
      <w:sz w:val="18"/>
      <w:szCs w:val="20"/>
    </w:rPr>
  </w:style>
  <w:style w:type="character" w:customStyle="1" w:styleId="56">
    <w:name w:val="页脚 字符1"/>
    <w:link w:val="55"/>
    <w:autoRedefine/>
    <w:qFormat/>
    <w:uiPriority w:val="99"/>
    <w:rPr>
      <w:sz w:val="18"/>
    </w:rPr>
  </w:style>
  <w:style w:type="paragraph" w:customStyle="1" w:styleId="57">
    <w:name w:val="页眉1"/>
    <w:basedOn w:val="1"/>
    <w:link w:val="58"/>
    <w:autoRedefine/>
    <w:qFormat/>
    <w:uiPriority w:val="0"/>
    <w:pPr>
      <w:pBdr>
        <w:bottom w:val="single" w:color="auto" w:sz="6" w:space="1"/>
      </w:pBdr>
      <w:tabs>
        <w:tab w:val="center" w:pos="4153"/>
        <w:tab w:val="right" w:pos="8306"/>
      </w:tabs>
      <w:snapToGrid w:val="0"/>
      <w:jc w:val="center"/>
    </w:pPr>
    <w:rPr>
      <w:kern w:val="0"/>
      <w:sz w:val="18"/>
      <w:szCs w:val="20"/>
    </w:rPr>
  </w:style>
  <w:style w:type="character" w:customStyle="1" w:styleId="58">
    <w:name w:val="页眉 字符"/>
    <w:link w:val="57"/>
    <w:autoRedefine/>
    <w:qFormat/>
    <w:uiPriority w:val="0"/>
    <w:rPr>
      <w:sz w:val="18"/>
    </w:rPr>
  </w:style>
  <w:style w:type="paragraph" w:customStyle="1" w:styleId="59">
    <w:name w:val="目录 21"/>
    <w:basedOn w:val="1"/>
    <w:next w:val="36"/>
    <w:autoRedefine/>
    <w:qFormat/>
    <w:uiPriority w:val="39"/>
    <w:pPr>
      <w:widowControl w:val="0"/>
      <w:ind w:left="420" w:leftChars="200"/>
      <w:jc w:val="both"/>
    </w:pPr>
    <w:rPr>
      <w:rFonts w:ascii="Times New Roman" w:hAnsi="Times New Roman" w:eastAsia="宋体" w:cs="Times New Roman"/>
      <w:kern w:val="2"/>
      <w:sz w:val="21"/>
      <w:szCs w:val="24"/>
      <w:lang w:val="en-US" w:eastAsia="zh-CN" w:bidi="ar-SA"/>
    </w:rPr>
  </w:style>
  <w:style w:type="paragraph" w:customStyle="1" w:styleId="60">
    <w:name w:val="正文文本 21"/>
    <w:basedOn w:val="1"/>
    <w:autoRedefine/>
    <w:qFormat/>
    <w:uiPriority w:val="0"/>
    <w:pPr>
      <w:spacing w:after="120" w:line="480" w:lineRule="auto"/>
    </w:pPr>
  </w:style>
  <w:style w:type="paragraph" w:customStyle="1" w:styleId="61">
    <w:name w:val="普通(网站)1"/>
    <w:basedOn w:val="1"/>
    <w:link w:val="62"/>
    <w:autoRedefine/>
    <w:qFormat/>
    <w:uiPriority w:val="0"/>
    <w:pPr>
      <w:widowControl/>
      <w:spacing w:before="100" w:beforeAutospacing="1" w:after="100" w:afterAutospacing="1"/>
      <w:jc w:val="left"/>
    </w:pPr>
    <w:rPr>
      <w:rFonts w:ascii="宋体" w:hAnsi="宋体"/>
      <w:kern w:val="0"/>
      <w:sz w:val="24"/>
      <w:szCs w:val="20"/>
    </w:rPr>
  </w:style>
  <w:style w:type="character" w:customStyle="1" w:styleId="62">
    <w:name w:val="普通(网站) 字符"/>
    <w:link w:val="61"/>
    <w:autoRedefine/>
    <w:qFormat/>
    <w:uiPriority w:val="0"/>
    <w:rPr>
      <w:rFonts w:ascii="宋体" w:hAnsi="宋体" w:eastAsia="宋体"/>
      <w:sz w:val="24"/>
    </w:rPr>
  </w:style>
  <w:style w:type="paragraph" w:customStyle="1" w:styleId="63">
    <w:name w:val="批注主题1"/>
    <w:basedOn w:val="42"/>
    <w:next w:val="42"/>
    <w:link w:val="64"/>
    <w:autoRedefine/>
    <w:qFormat/>
    <w:uiPriority w:val="0"/>
    <w:rPr>
      <w:b/>
      <w:sz w:val="24"/>
      <w:szCs w:val="20"/>
    </w:rPr>
  </w:style>
  <w:style w:type="character" w:customStyle="1" w:styleId="64">
    <w:name w:val="批注主题 字符"/>
    <w:link w:val="63"/>
    <w:autoRedefine/>
    <w:qFormat/>
    <w:uiPriority w:val="0"/>
    <w:rPr>
      <w:rFonts w:ascii="Times New Roman" w:hAnsi="Times New Roman" w:eastAsia="宋体"/>
      <w:b/>
      <w:kern w:val="2"/>
      <w:sz w:val="24"/>
    </w:rPr>
  </w:style>
  <w:style w:type="paragraph" w:customStyle="1" w:styleId="65">
    <w:name w:val="正文首行缩进 21"/>
    <w:basedOn w:val="37"/>
    <w:autoRedefine/>
    <w:qFormat/>
    <w:uiPriority w:val="0"/>
    <w:pPr>
      <w:adjustRightInd/>
      <w:spacing w:after="120" w:line="240" w:lineRule="auto"/>
      <w:ind w:left="420" w:leftChars="200" w:firstLine="420" w:firstLineChars="200"/>
      <w:textAlignment w:val="auto"/>
    </w:pPr>
    <w:rPr>
      <w:spacing w:val="0"/>
      <w:kern w:val="2"/>
      <w:sz w:val="21"/>
      <w:szCs w:val="24"/>
      <w:lang w:val="en-US"/>
    </w:rPr>
  </w:style>
  <w:style w:type="table" w:customStyle="1" w:styleId="66">
    <w:name w:val="网格型1"/>
    <w:basedOn w:val="35"/>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7">
    <w:name w:val="页码1"/>
    <w:autoRedefine/>
    <w:qFormat/>
    <w:uiPriority w:val="0"/>
  </w:style>
  <w:style w:type="character" w:customStyle="1" w:styleId="68">
    <w:name w:val="超链接1"/>
    <w:autoRedefine/>
    <w:qFormat/>
    <w:uiPriority w:val="0"/>
    <w:rPr>
      <w:color w:val="0000FF"/>
      <w:u w:val="single"/>
    </w:rPr>
  </w:style>
  <w:style w:type="character" w:customStyle="1" w:styleId="69">
    <w:name w:val="批注引用1"/>
    <w:autoRedefine/>
    <w:qFormat/>
    <w:uiPriority w:val="0"/>
    <w:rPr>
      <w:sz w:val="21"/>
    </w:rPr>
  </w:style>
  <w:style w:type="paragraph" w:customStyle="1" w:styleId="70">
    <w:name w:val="表头"/>
    <w:basedOn w:val="40"/>
    <w:next w:val="1"/>
    <w:autoRedefine/>
    <w:qFormat/>
    <w:uiPriority w:val="99"/>
    <w:pPr>
      <w:adjustRightInd w:val="0"/>
      <w:ind w:firstLine="560" w:firstLineChars="200"/>
      <w:jc w:val="center"/>
      <w:textAlignment w:val="baseline"/>
    </w:pPr>
    <w:rPr>
      <w:b/>
      <w:bCs/>
      <w:kern w:val="0"/>
      <w:sz w:val="24"/>
      <w:szCs w:val="24"/>
    </w:rPr>
  </w:style>
  <w:style w:type="paragraph" w:customStyle="1" w:styleId="71">
    <w:name w:val="样式35"/>
    <w:basedOn w:val="72"/>
    <w:next w:val="76"/>
    <w:autoRedefine/>
    <w:qFormat/>
    <w:uiPriority w:val="0"/>
    <w:pPr>
      <w:tabs>
        <w:tab w:val="left" w:pos="0"/>
        <w:tab w:val="left" w:pos="360"/>
        <w:tab w:val="left" w:pos="480"/>
        <w:tab w:val="left" w:pos="540"/>
        <w:tab w:val="left" w:pos="567"/>
        <w:tab w:val="left" w:pos="720"/>
      </w:tabs>
      <w:spacing w:line="312" w:lineRule="auto"/>
      <w:ind w:left="720" w:firstLine="567"/>
    </w:pPr>
    <w:rPr>
      <w:rFonts w:ascii="宋体"/>
    </w:rPr>
  </w:style>
  <w:style w:type="paragraph" w:customStyle="1" w:styleId="72">
    <w:name w:val="样式26"/>
    <w:basedOn w:val="73"/>
    <w:autoRedefine/>
    <w:qFormat/>
    <w:uiPriority w:val="0"/>
    <w:pPr>
      <w:tabs>
        <w:tab w:val="left" w:pos="0"/>
        <w:tab w:val="left" w:pos="360"/>
        <w:tab w:val="left" w:pos="480"/>
        <w:tab w:val="left" w:pos="540"/>
        <w:tab w:val="left" w:pos="567"/>
        <w:tab w:val="left" w:pos="720"/>
      </w:tabs>
      <w:ind w:left="720" w:hanging="720"/>
    </w:pPr>
  </w:style>
  <w:style w:type="paragraph" w:customStyle="1" w:styleId="73">
    <w:name w:val="样式21"/>
    <w:basedOn w:val="74"/>
    <w:autoRedefine/>
    <w:qFormat/>
    <w:uiPriority w:val="0"/>
    <w:pPr>
      <w:tabs>
        <w:tab w:val="left" w:pos="360"/>
        <w:tab w:val="left" w:pos="480"/>
        <w:tab w:val="left" w:pos="540"/>
        <w:tab w:val="left" w:pos="720"/>
      </w:tabs>
      <w:spacing w:beforeLines="50" w:afterLines="50" w:line="360" w:lineRule="auto"/>
      <w:ind w:left="720" w:hanging="720"/>
      <w:outlineLvl w:val="2"/>
    </w:pPr>
    <w:rPr>
      <w:rFonts w:eastAsia="MS Mincho"/>
      <w:kern w:val="0"/>
      <w:sz w:val="24"/>
      <w:szCs w:val="32"/>
    </w:rPr>
  </w:style>
  <w:style w:type="paragraph" w:customStyle="1" w:styleId="74">
    <w:name w:val="样式5"/>
    <w:basedOn w:val="75"/>
    <w:autoRedefine/>
    <w:qFormat/>
    <w:uiPriority w:val="0"/>
    <w:pPr>
      <w:tabs>
        <w:tab w:val="left" w:pos="480"/>
      </w:tabs>
      <w:ind w:left="482" w:firstLine="0" w:firstLineChars="0"/>
    </w:pPr>
    <w:rPr>
      <w:rFonts w:eastAsia="仿宋_GB2312"/>
      <w:b w:val="0"/>
      <w:sz w:val="21"/>
      <w:szCs w:val="24"/>
    </w:rPr>
  </w:style>
  <w:style w:type="paragraph" w:customStyle="1" w:styleId="75">
    <w:name w:val="样式12"/>
    <w:basedOn w:val="32"/>
    <w:autoRedefine/>
    <w:qFormat/>
    <w:uiPriority w:val="0"/>
    <w:pPr>
      <w:tabs>
        <w:tab w:val="left" w:pos="480"/>
      </w:tabs>
      <w:ind w:firstLine="200" w:firstLineChars="200"/>
    </w:pPr>
  </w:style>
  <w:style w:type="paragraph" w:customStyle="1" w:styleId="76">
    <w:name w:val="font6"/>
    <w:basedOn w:val="1"/>
    <w:next w:val="16"/>
    <w:autoRedefine/>
    <w:qFormat/>
    <w:uiPriority w:val="0"/>
    <w:pPr>
      <w:widowControl/>
      <w:spacing w:before="280" w:after="280"/>
    </w:pPr>
  </w:style>
  <w:style w:type="character" w:customStyle="1" w:styleId="77">
    <w:name w:val="日期 字符"/>
    <w:autoRedefine/>
    <w:qFormat/>
    <w:uiPriority w:val="0"/>
    <w:rPr>
      <w:rFonts w:ascii="Times New Roman" w:hAnsi="Times New Roman" w:eastAsia="宋体"/>
      <w:sz w:val="24"/>
    </w:rPr>
  </w:style>
  <w:style w:type="character" w:customStyle="1" w:styleId="78">
    <w:name w:val="页脚 字符"/>
    <w:autoRedefine/>
    <w:qFormat/>
    <w:uiPriority w:val="99"/>
  </w:style>
  <w:style w:type="character" w:customStyle="1" w:styleId="79">
    <w:name w:val="表格 Char"/>
    <w:link w:val="80"/>
    <w:autoRedefine/>
    <w:qFormat/>
    <w:uiPriority w:val="0"/>
    <w:rPr>
      <w:rFonts w:ascii="宋体"/>
      <w:sz w:val="21"/>
    </w:rPr>
  </w:style>
  <w:style w:type="paragraph" w:customStyle="1" w:styleId="80">
    <w:name w:val="表格"/>
    <w:basedOn w:val="8"/>
    <w:next w:val="1"/>
    <w:link w:val="79"/>
    <w:autoRedefine/>
    <w:qFormat/>
    <w:uiPriority w:val="0"/>
    <w:pPr>
      <w:adjustRightInd w:val="0"/>
      <w:snapToGrid w:val="0"/>
      <w:spacing w:beforeLines="10" w:afterLines="10" w:line="259" w:lineRule="auto"/>
      <w:jc w:val="center"/>
    </w:pPr>
    <w:rPr>
      <w:rFonts w:ascii="宋体"/>
      <w:kern w:val="0"/>
      <w:szCs w:val="20"/>
    </w:rPr>
  </w:style>
  <w:style w:type="character" w:customStyle="1" w:styleId="81">
    <w:name w:val="正文文本 字符1"/>
    <w:autoRedefine/>
    <w:qFormat/>
    <w:uiPriority w:val="0"/>
    <w:rPr>
      <w:rFonts w:ascii="Times New Roman" w:hAnsi="Times New Roman" w:eastAsia="宋体"/>
      <w:sz w:val="24"/>
    </w:rPr>
  </w:style>
  <w:style w:type="character" w:customStyle="1" w:styleId="82">
    <w:name w:val="批注文字 字符1"/>
    <w:autoRedefine/>
    <w:qFormat/>
    <w:uiPriority w:val="0"/>
    <w:rPr>
      <w:rFonts w:ascii="Times New Roman" w:hAnsi="Times New Roman" w:eastAsia="宋体"/>
      <w:sz w:val="24"/>
    </w:rPr>
  </w:style>
  <w:style w:type="character" w:customStyle="1" w:styleId="83">
    <w:name w:val="font81"/>
    <w:autoRedefine/>
    <w:qFormat/>
    <w:uiPriority w:val="0"/>
    <w:rPr>
      <w:rFonts w:hint="eastAsia" w:ascii="宋体" w:hAnsi="宋体" w:eastAsia="宋体" w:cs="宋体"/>
      <w:color w:val="000000"/>
      <w:sz w:val="21"/>
      <w:szCs w:val="21"/>
      <w:u w:val="none"/>
    </w:rPr>
  </w:style>
  <w:style w:type="paragraph" w:customStyle="1" w:styleId="84">
    <w:name w:val="附图"/>
    <w:basedOn w:val="1"/>
    <w:autoRedefine/>
    <w:qFormat/>
    <w:uiPriority w:val="0"/>
    <w:pPr>
      <w:numPr>
        <w:ilvl w:val="0"/>
        <w:numId w:val="5"/>
      </w:numPr>
      <w:jc w:val="center"/>
    </w:pPr>
    <w:rPr>
      <w:rFonts w:ascii="Times New Roman" w:hAnsi="Times New Roman" w:eastAsia="宋体"/>
      <w:b/>
    </w:rPr>
  </w:style>
  <w:style w:type="paragraph" w:customStyle="1" w:styleId="85">
    <w:name w:val="表头 YP"/>
    <w:basedOn w:val="1"/>
    <w:autoRedefine/>
    <w:qFormat/>
    <w:uiPriority w:val="0"/>
    <w:pPr>
      <w:spacing w:before="50" w:beforeLines="50"/>
      <w:jc w:val="center"/>
      <w:outlineLvl w:val="4"/>
    </w:pPr>
    <w:rPr>
      <w:b/>
      <w:szCs w:val="20"/>
    </w:rPr>
  </w:style>
  <w:style w:type="paragraph" w:customStyle="1" w:styleId="86">
    <w:name w:val="表头d"/>
    <w:basedOn w:val="1"/>
    <w:autoRedefine/>
    <w:qFormat/>
    <w:uiPriority w:val="0"/>
    <w:pPr>
      <w:numPr>
        <w:ilvl w:val="0"/>
        <w:numId w:val="6"/>
      </w:numPr>
      <w:jc w:val="center"/>
    </w:pPr>
    <w:rPr>
      <w:b/>
      <w:sz w:val="24"/>
    </w:rPr>
  </w:style>
  <w:style w:type="paragraph" w:customStyle="1" w:styleId="87">
    <w:name w:val="报告表正文"/>
    <w:basedOn w:val="1"/>
    <w:autoRedefine/>
    <w:qFormat/>
    <w:uiPriority w:val="0"/>
    <w:pPr>
      <w:spacing w:line="360" w:lineRule="auto"/>
      <w:ind w:firstLine="200" w:firstLineChars="200"/>
    </w:pPr>
    <w:rPr>
      <w:rFonts w:eastAsia="仿宋体"/>
      <w:sz w:val="24"/>
      <w:szCs w:val="20"/>
    </w:rPr>
  </w:style>
  <w:style w:type="paragraph" w:customStyle="1" w:styleId="88">
    <w:name w:val="表格正文 YP"/>
    <w:basedOn w:val="1"/>
    <w:autoRedefine/>
    <w:qFormat/>
    <w:uiPriority w:val="0"/>
    <w:pPr>
      <w:ind w:firstLine="2"/>
      <w:jc w:val="center"/>
    </w:pPr>
    <w:rPr>
      <w:rFonts w:hAnsi="宋体"/>
      <w:szCs w:val="21"/>
    </w:rPr>
  </w:style>
  <w:style w:type="paragraph" w:customStyle="1" w:styleId="89">
    <w:name w:val="Table Paragraph"/>
    <w:basedOn w:val="1"/>
    <w:autoRedefine/>
    <w:qFormat/>
    <w:uiPriority w:val="1"/>
    <w:rPr>
      <w:rFonts w:ascii="宋体" w:hAnsi="宋体" w:eastAsia="宋体" w:cs="宋体"/>
      <w:lang w:val="zh-CN" w:bidi="zh-CN"/>
    </w:rPr>
  </w:style>
  <w:style w:type="paragraph" w:customStyle="1" w:styleId="90">
    <w:name w:val="Char1"/>
    <w:basedOn w:val="1"/>
    <w:autoRedefine/>
    <w:qFormat/>
    <w:uiPriority w:val="0"/>
    <w:rPr>
      <w:rFonts w:ascii="Tahoma" w:hAnsi="Tahoma" w:cs="仿宋_GB2312"/>
      <w:sz w:val="24"/>
      <w:szCs w:val="20"/>
    </w:rPr>
  </w:style>
  <w:style w:type="paragraph" w:customStyle="1" w:styleId="91">
    <w:name w:val="列表段落"/>
    <w:basedOn w:val="1"/>
    <w:autoRedefine/>
    <w:qFormat/>
    <w:uiPriority w:val="34"/>
    <w:pPr>
      <w:ind w:firstLine="420" w:firstLineChars="200"/>
    </w:pPr>
  </w:style>
  <w:style w:type="paragraph" w:customStyle="1" w:styleId="92">
    <w:name w:val="报告表表头"/>
    <w:next w:val="87"/>
    <w:autoRedefine/>
    <w:qFormat/>
    <w:uiPriority w:val="0"/>
    <w:pPr>
      <w:numPr>
        <w:ilvl w:val="0"/>
        <w:numId w:val="7"/>
      </w:numPr>
      <w:jc w:val="center"/>
    </w:pPr>
    <w:rPr>
      <w:rFonts w:ascii="Times New Roman" w:hAnsi="Times New Roman" w:eastAsia="宋体" w:cs="Times New Roman"/>
      <w:b/>
      <w:color w:val="000000"/>
      <w:kern w:val="2"/>
      <w:sz w:val="21"/>
      <w:szCs w:val="22"/>
      <w:lang w:val="en-US" w:eastAsia="zh-CN" w:bidi="ar-SA"/>
    </w:rPr>
  </w:style>
  <w:style w:type="paragraph" w:customStyle="1" w:styleId="93">
    <w:name w:val="A正文"/>
    <w:basedOn w:val="1"/>
    <w:next w:val="10"/>
    <w:autoRedefine/>
    <w:qFormat/>
    <w:uiPriority w:val="0"/>
    <w:pPr>
      <w:spacing w:line="360" w:lineRule="auto"/>
      <w:ind w:firstLine="200" w:firstLineChars="200"/>
    </w:pPr>
    <w:rPr>
      <w:sz w:val="24"/>
      <w:lang w:val="zh-CN"/>
    </w:rPr>
  </w:style>
  <w:style w:type="paragraph" w:customStyle="1" w:styleId="94">
    <w:name w:val="样式 正文首行缩进:  2 字符 + 首行缩进:  2 字符"/>
    <w:basedOn w:val="1"/>
    <w:autoRedefine/>
    <w:qFormat/>
    <w:uiPriority w:val="0"/>
    <w:pPr>
      <w:spacing w:line="360" w:lineRule="auto"/>
      <w:ind w:firstLine="480" w:firstLineChars="200"/>
    </w:pPr>
    <w:rPr>
      <w:rFonts w:cs="宋体"/>
      <w:sz w:val="24"/>
      <w:szCs w:val="20"/>
    </w:rPr>
  </w:style>
  <w:style w:type="paragraph" w:customStyle="1" w:styleId="95">
    <w:name w:val="样式48"/>
    <w:basedOn w:val="85"/>
    <w:link w:val="96"/>
    <w:autoRedefine/>
    <w:qFormat/>
    <w:uiPriority w:val="0"/>
    <w:pPr>
      <w:numPr>
        <w:ilvl w:val="0"/>
        <w:numId w:val="8"/>
      </w:numPr>
    </w:pPr>
    <w:rPr>
      <w:b w:val="0"/>
      <w:kern w:val="0"/>
      <w:sz w:val="20"/>
    </w:rPr>
  </w:style>
  <w:style w:type="character" w:customStyle="1" w:styleId="96">
    <w:name w:val="样式48 Char"/>
    <w:link w:val="95"/>
    <w:autoRedefine/>
    <w:qFormat/>
    <w:uiPriority w:val="0"/>
    <w:rPr>
      <w:kern w:val="0"/>
      <w:sz w:val="20"/>
    </w:rPr>
  </w:style>
  <w:style w:type="paragraph" w:customStyle="1" w:styleId="97">
    <w:name w:val="正文缩进1"/>
    <w:basedOn w:val="1"/>
    <w:autoRedefine/>
    <w:qFormat/>
    <w:uiPriority w:val="0"/>
    <w:pPr>
      <w:ind w:firstLine="420"/>
    </w:pPr>
    <w:rPr>
      <w:sz w:val="28"/>
      <w:szCs w:val="20"/>
    </w:rPr>
  </w:style>
  <w:style w:type="paragraph" w:customStyle="1" w:styleId="98">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9">
    <w:name w:val="无间隔"/>
    <w:basedOn w:val="1"/>
    <w:autoRedefine/>
    <w:qFormat/>
    <w:uiPriority w:val="0"/>
  </w:style>
  <w:style w:type="paragraph" w:customStyle="1" w:styleId="100">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01">
    <w:name w:val="正文 LYP"/>
    <w:basedOn w:val="1"/>
    <w:autoRedefine/>
    <w:qFormat/>
    <w:uiPriority w:val="0"/>
    <w:pPr>
      <w:spacing w:line="360" w:lineRule="auto"/>
      <w:ind w:firstLine="200" w:firstLineChars="200"/>
    </w:pPr>
    <w:rPr>
      <w:sz w:val="24"/>
    </w:rPr>
  </w:style>
  <w:style w:type="table" w:customStyle="1" w:styleId="102">
    <w:name w:val="Table Normal"/>
    <w:autoRedefine/>
    <w:qFormat/>
    <w:uiPriority w:val="2"/>
    <w:pPr>
      <w:widowControl w:val="0"/>
      <w:autoSpaceDE w:val="0"/>
      <w:autoSpaceDN w:val="0"/>
    </w:pPr>
    <w:rPr>
      <w:rFonts w:eastAsia="Times New Roman"/>
      <w:sz w:val="22"/>
      <w:lang w:val="en-US" w:eastAsia="en-US" w:bidi="ar-SA"/>
    </w:rPr>
    <w:tblPr>
      <w:tblCellMar>
        <w:top w:w="0" w:type="dxa"/>
        <w:left w:w="0" w:type="dxa"/>
        <w:bottom w:w="0" w:type="dxa"/>
        <w:right w:w="0" w:type="dxa"/>
      </w:tblCellMar>
    </w:tblPr>
  </w:style>
  <w:style w:type="paragraph" w:customStyle="1" w:styleId="103">
    <w:name w:val="报告表正文标注文字"/>
    <w:basedOn w:val="87"/>
    <w:autoRedefine/>
    <w:qFormat/>
    <w:uiPriority w:val="0"/>
    <w:pPr>
      <w:ind w:firstLine="482"/>
    </w:pPr>
    <w:rPr>
      <w:b/>
      <w:color w:val="FF0000"/>
    </w:rPr>
  </w:style>
  <w:style w:type="paragraph" w:customStyle="1" w:styleId="104">
    <w:name w:val="表格表头"/>
    <w:basedOn w:val="33"/>
    <w:autoRedefine/>
    <w:qFormat/>
    <w:uiPriority w:val="0"/>
    <w:pPr>
      <w:tabs>
        <w:tab w:val="left" w:pos="210"/>
      </w:tabs>
    </w:pPr>
  </w:style>
  <w:style w:type="paragraph" w:customStyle="1" w:styleId="105">
    <w:name w:val="表格内容"/>
    <w:basedOn w:val="1"/>
    <w:autoRedefine/>
    <w:qFormat/>
    <w:uiPriority w:val="0"/>
    <w:pPr>
      <w:jc w:val="center"/>
    </w:pPr>
    <w:rPr>
      <w:szCs w:val="21"/>
      <w:lang w:val="zh-CN"/>
    </w:rPr>
  </w:style>
  <w:style w:type="paragraph" w:customStyle="1" w:styleId="106">
    <w:name w:val="宗兴正文"/>
    <w:autoRedefine/>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07">
    <w:name w:val="表内内容"/>
    <w:basedOn w:val="108"/>
    <w:autoRedefine/>
    <w:qFormat/>
    <w:uiPriority w:val="0"/>
    <w:pPr>
      <w:wordWrap w:val="0"/>
      <w:topLinePunct/>
      <w:spacing w:line="240" w:lineRule="auto"/>
      <w:ind w:firstLine="0" w:firstLineChars="0"/>
      <w:jc w:val="center"/>
    </w:pPr>
    <w:rPr>
      <w:spacing w:val="0"/>
      <w:sz w:val="21"/>
      <w:szCs w:val="24"/>
    </w:rPr>
  </w:style>
  <w:style w:type="paragraph" w:customStyle="1" w:styleId="108">
    <w:name w:val="样式1"/>
    <w:basedOn w:val="1"/>
    <w:autoRedefine/>
    <w:qFormat/>
    <w:uiPriority w:val="0"/>
    <w:pPr>
      <w:spacing w:line="500" w:lineRule="exact"/>
      <w:ind w:firstLine="496" w:firstLineChars="200"/>
    </w:pPr>
    <w:rPr>
      <w:spacing w:val="4"/>
      <w:sz w:val="24"/>
      <w:szCs w:val="20"/>
    </w:rPr>
  </w:style>
  <w:style w:type="paragraph" w:customStyle="1" w:styleId="109">
    <w:name w:val="修订"/>
    <w:autoRedefine/>
    <w:qFormat/>
    <w:uiPriority w:val="99"/>
    <w:rPr>
      <w:rFonts w:ascii="Times New Roman" w:hAnsi="Times New Roman" w:eastAsia="宋体" w:cs="Times New Roman"/>
      <w:kern w:val="2"/>
      <w:sz w:val="21"/>
      <w:szCs w:val="24"/>
      <w:lang w:val="en-US" w:eastAsia="zh-CN" w:bidi="ar-SA"/>
    </w:rPr>
  </w:style>
  <w:style w:type="character" w:customStyle="1" w:styleId="110">
    <w:name w:val="font21"/>
    <w:basedOn w:val="21"/>
    <w:autoRedefine/>
    <w:qFormat/>
    <w:uiPriority w:val="0"/>
    <w:rPr>
      <w:rFonts w:hint="eastAsia" w:ascii="宋体" w:hAnsi="宋体" w:eastAsia="宋体" w:cs="宋体"/>
      <w:color w:val="000000"/>
      <w:sz w:val="21"/>
      <w:szCs w:val="21"/>
      <w:u w:val="none"/>
    </w:rPr>
  </w:style>
  <w:style w:type="character" w:customStyle="1" w:styleId="111">
    <w:name w:val="font11"/>
    <w:basedOn w:val="34"/>
    <w:autoRedefine/>
    <w:qFormat/>
    <w:uiPriority w:val="0"/>
    <w:rPr>
      <w:rFonts w:hint="default" w:ascii="Times New Roman" w:hAnsi="Times New Roman" w:cs="Times New Roman"/>
      <w:color w:val="000000"/>
      <w:sz w:val="21"/>
      <w:szCs w:val="21"/>
      <w:u w:val="none"/>
    </w:rPr>
  </w:style>
  <w:style w:type="character" w:customStyle="1" w:styleId="112">
    <w:name w:val="font31"/>
    <w:basedOn w:val="21"/>
    <w:autoRedefine/>
    <w:qFormat/>
    <w:uiPriority w:val="0"/>
    <w:rPr>
      <w:rFonts w:hint="eastAsia" w:ascii="宋体" w:hAnsi="宋体" w:eastAsia="宋体" w:cs="宋体"/>
      <w:color w:val="000000"/>
      <w:sz w:val="18"/>
      <w:szCs w:val="18"/>
      <w:u w:val="none"/>
    </w:rPr>
  </w:style>
  <w:style w:type="paragraph" w:customStyle="1" w:styleId="113">
    <w:name w:val="表格文字"/>
    <w:basedOn w:val="1"/>
    <w:qFormat/>
    <w:uiPriority w:val="0"/>
    <w:pPr>
      <w:tabs>
        <w:tab w:val="left" w:pos="-2848"/>
      </w:tabs>
      <w:spacing w:beforeLines="20" w:afterLines="20"/>
      <w:jc w:val="center"/>
    </w:pPr>
    <w:rPr>
      <w:position w:val="-10"/>
      <w:szCs w:val="20"/>
      <w:lang w:val="zh-CN"/>
    </w:rPr>
  </w:style>
  <w:style w:type="paragraph" w:customStyle="1" w:styleId="114">
    <w:name w:val="正文-lin"/>
    <w:basedOn w:val="1"/>
    <w:qFormat/>
    <w:uiPriority w:val="0"/>
    <w:pPr>
      <w:spacing w:line="360" w:lineRule="auto"/>
      <w:ind w:firstLine="1040" w:firstLineChars="200"/>
    </w:pPr>
    <w:rPr>
      <w:rFonts w:ascii="Times New Roman" w:hAnsi="Times New Roman"/>
      <w:kern w:val="0"/>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header" Target="head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bmp"/><Relationship Id="rId26" Type="http://schemas.openxmlformats.org/officeDocument/2006/relationships/image" Target="media/image17.pn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26" textRotate="1"/>
    <customShpInfo spid="_x0000_s1027"/>
    <customShpInfo spid="_x0000_s1028"/>
    <customShpInfo spid="_x0000_s1029"/>
    <customShpInfo spid="_x0000_s1031"/>
    <customShpInfo spid="_x0000_s1032"/>
    <customShpInfo spid="_x0000_s1034"/>
    <customShpInfo spid="_x0000_s1033"/>
    <customShpInfo spid="_x0000_s1035"/>
    <customShpInfo spid="_x0000_s1036"/>
    <customShpInfo spid="_x0000_s1037"/>
    <customShpInfo spid="_x0000_s1038"/>
    <customShpInfo spid="_x0000_s1042"/>
    <customShpInfo spid="_x0000_s104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88</Pages>
  <Words>8925</Words>
  <Characters>9965</Characters>
  <Paragraphs>2370</Paragraphs>
  <TotalTime>0</TotalTime>
  <ScaleCrop>false</ScaleCrop>
  <LinksUpToDate>false</LinksUpToDate>
  <CharactersWithSpaces>10037</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2022-05-26T14:33:00Z</dcterms:created>
  <dc:creator>lhj</dc:creator>
  <cp:lastModifiedBy>ice</cp:lastModifiedBy>
  <cp:lastPrinted>2022-09-29T03:25:00Z</cp:lastPrinted>
  <dcterms:modified xsi:type="dcterms:W3CDTF">2025-01-11T06:30:52Z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676BC3E410BF41DD9ACE57331D3928BD_13</vt:lpwstr>
  </property>
  <property fmtid="{D5CDD505-2E9C-101B-9397-08002B2CF9AE}" pid="4" name="KSOSaveFontToCloudKey">
    <vt:lpwstr>445151405_cloud</vt:lpwstr>
  </property>
  <property fmtid="{D5CDD505-2E9C-101B-9397-08002B2CF9AE}" pid="5" name="KSOTemplateDocerSaveRecord">
    <vt:lpwstr>eyJoZGlkIjoiODhkNzFmNGUwYmIxYTVjZTU3MDY0NzY3NjFiYzY0NWEiLCJ1c2VySWQiOiI0MDc0NDQ1NjAifQ==</vt:lpwstr>
  </property>
</Properties>
</file>