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740B" w14:textId="77777777" w:rsidR="001D352B" w:rsidRPr="001D352B" w:rsidRDefault="001D352B" w:rsidP="001D352B">
      <w:pPr>
        <w:widowControl/>
        <w:jc w:val="center"/>
        <w:outlineLvl w:val="0"/>
        <w:rPr>
          <w:rFonts w:ascii="微软雅黑" w:eastAsia="微软雅黑" w:hAnsi="微软雅黑" w:cs="宋体"/>
          <w:color w:val="333333"/>
          <w:kern w:val="36"/>
          <w:sz w:val="36"/>
          <w:szCs w:val="36"/>
        </w:rPr>
      </w:pPr>
      <w:r w:rsidRPr="001D352B">
        <w:rPr>
          <w:rFonts w:ascii="微软雅黑" w:eastAsia="微软雅黑" w:hAnsi="微软雅黑" w:cs="宋体" w:hint="eastAsia"/>
          <w:color w:val="333333"/>
          <w:kern w:val="36"/>
          <w:sz w:val="36"/>
          <w:szCs w:val="36"/>
        </w:rPr>
        <w:t>上海地区电价表-工业用电标准、基本电费</w:t>
      </w:r>
    </w:p>
    <w:p w14:paraId="1C699D2B" w14:textId="4A644AD7" w:rsidR="001D352B" w:rsidRPr="001D352B" w:rsidRDefault="001D352B" w:rsidP="001D352B">
      <w:pPr>
        <w:widowControl/>
        <w:jc w:val="center"/>
        <w:rPr>
          <w:rFonts w:ascii="微软雅黑" w:eastAsia="微软雅黑" w:hAnsi="微软雅黑" w:cs="宋体" w:hint="eastAsia"/>
          <w:color w:val="333333"/>
          <w:kern w:val="0"/>
          <w:szCs w:val="21"/>
        </w:rPr>
      </w:pPr>
    </w:p>
    <w:tbl>
      <w:tblPr>
        <w:tblW w:w="12000" w:type="dxa"/>
        <w:tblCellSpacing w:w="15" w:type="dxa"/>
        <w:shd w:val="clear" w:color="auto" w:fill="EEEEEE"/>
        <w:tblCellMar>
          <w:left w:w="0" w:type="dxa"/>
          <w:right w:w="0" w:type="dxa"/>
        </w:tblCellMar>
        <w:tblLook w:val="04A0" w:firstRow="1" w:lastRow="0" w:firstColumn="1" w:lastColumn="0" w:noHBand="0" w:noVBand="1"/>
      </w:tblPr>
      <w:tblGrid>
        <w:gridCol w:w="684"/>
        <w:gridCol w:w="669"/>
        <w:gridCol w:w="1062"/>
        <w:gridCol w:w="668"/>
        <w:gridCol w:w="1304"/>
        <w:gridCol w:w="1048"/>
        <w:gridCol w:w="840"/>
        <w:gridCol w:w="669"/>
        <w:gridCol w:w="1007"/>
        <w:gridCol w:w="731"/>
        <w:gridCol w:w="966"/>
        <w:gridCol w:w="2301"/>
        <w:gridCol w:w="51"/>
      </w:tblGrid>
      <w:tr w:rsidR="001D352B" w:rsidRPr="001D352B" w14:paraId="36EA5DA1" w14:textId="77777777" w:rsidTr="001D352B">
        <w:trPr>
          <w:gridAfter w:val="1"/>
          <w:trHeight w:val="660"/>
          <w:tblCellSpacing w:w="15" w:type="dxa"/>
        </w:trPr>
        <w:tc>
          <w:tcPr>
            <w:tcW w:w="15360" w:type="dxa"/>
            <w:gridSpan w:val="12"/>
            <w:shd w:val="clear" w:color="auto" w:fill="FFFFFF"/>
            <w:vAlign w:val="center"/>
            <w:hideMark/>
          </w:tcPr>
          <w:p w14:paraId="1ABF45ED" w14:textId="77777777" w:rsidR="001D352B" w:rsidRPr="001D352B" w:rsidRDefault="001D352B" w:rsidP="001D352B">
            <w:pPr>
              <w:widowControl/>
              <w:jc w:val="center"/>
              <w:rPr>
                <w:rFonts w:ascii="宋体" w:eastAsia="宋体" w:hAnsi="宋体" w:cs="宋体" w:hint="eastAsia"/>
                <w:b/>
                <w:bCs/>
                <w:color w:val="000000"/>
                <w:kern w:val="0"/>
                <w:sz w:val="24"/>
                <w:szCs w:val="24"/>
              </w:rPr>
            </w:pPr>
            <w:r w:rsidRPr="001D352B">
              <w:rPr>
                <w:rFonts w:ascii="宋体" w:eastAsia="宋体" w:hAnsi="宋体" w:cs="宋体"/>
                <w:b/>
                <w:bCs/>
                <w:color w:val="000000"/>
                <w:kern w:val="0"/>
                <w:sz w:val="24"/>
                <w:szCs w:val="24"/>
              </w:rPr>
              <w:t>上海市居民电价表</w:t>
            </w:r>
            <w:r w:rsidRPr="001D352B">
              <w:rPr>
                <w:rFonts w:ascii="宋体" w:eastAsia="宋体" w:hAnsi="宋体" w:cs="宋体"/>
                <w:b/>
                <w:bCs/>
                <w:color w:val="000000"/>
                <w:kern w:val="0"/>
                <w:sz w:val="24"/>
                <w:szCs w:val="24"/>
              </w:rPr>
              <w:br/>
              <w:t>执行时间：自2019年5月1日起执行</w:t>
            </w:r>
          </w:p>
        </w:tc>
      </w:tr>
      <w:tr w:rsidR="001D352B" w:rsidRPr="001D352B" w14:paraId="23391A79" w14:textId="77777777" w:rsidTr="001D352B">
        <w:trPr>
          <w:gridAfter w:val="1"/>
          <w:trHeight w:val="435"/>
          <w:tblCellSpacing w:w="15" w:type="dxa"/>
        </w:trPr>
        <w:tc>
          <w:tcPr>
            <w:tcW w:w="0" w:type="auto"/>
            <w:shd w:val="clear" w:color="auto" w:fill="FFFFFF"/>
            <w:vAlign w:val="center"/>
            <w:hideMark/>
          </w:tcPr>
          <w:p w14:paraId="5816BCBC" w14:textId="77777777" w:rsidR="001D352B" w:rsidRPr="001D352B" w:rsidRDefault="001D352B" w:rsidP="001D352B">
            <w:pPr>
              <w:widowControl/>
              <w:jc w:val="center"/>
              <w:rPr>
                <w:rFonts w:ascii="宋体" w:eastAsia="宋体" w:hAnsi="宋体" w:cs="宋体"/>
                <w:kern w:val="0"/>
                <w:sz w:val="24"/>
                <w:szCs w:val="24"/>
              </w:rPr>
            </w:pPr>
          </w:p>
        </w:tc>
        <w:tc>
          <w:tcPr>
            <w:tcW w:w="13200" w:type="dxa"/>
            <w:gridSpan w:val="10"/>
            <w:shd w:val="clear" w:color="auto" w:fill="FFFFFF"/>
            <w:vAlign w:val="center"/>
            <w:hideMark/>
          </w:tcPr>
          <w:p w14:paraId="7B534A91"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45608773"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74580B02" w14:textId="77777777" w:rsidTr="001D352B">
        <w:trPr>
          <w:gridAfter w:val="1"/>
          <w:trHeight w:val="375"/>
          <w:tblCellSpacing w:w="15" w:type="dxa"/>
        </w:trPr>
        <w:tc>
          <w:tcPr>
            <w:tcW w:w="388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969AC"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用电分类</w:t>
            </w:r>
          </w:p>
        </w:tc>
        <w:tc>
          <w:tcPr>
            <w:tcW w:w="216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7E3E5"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电压等级</w:t>
            </w:r>
          </w:p>
        </w:tc>
        <w:tc>
          <w:tcPr>
            <w:tcW w:w="513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E9E0F"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电度电价（元/千瓦时）</w:t>
            </w:r>
          </w:p>
        </w:tc>
        <w:tc>
          <w:tcPr>
            <w:tcW w:w="243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2856E"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基本电价</w:t>
            </w:r>
          </w:p>
        </w:tc>
        <w:tc>
          <w:tcPr>
            <w:tcW w:w="435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5C0F4"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执行周期</w:t>
            </w:r>
          </w:p>
        </w:tc>
      </w:tr>
      <w:tr w:rsidR="001D352B" w:rsidRPr="001D352B" w14:paraId="73DFDB46" w14:textId="77777777" w:rsidTr="001D352B">
        <w:trPr>
          <w:gridAfter w:val="1"/>
          <w:trHeight w:val="420"/>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B38AB"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9FC84"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4952A8"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未分时电价</w:t>
            </w:r>
          </w:p>
        </w:tc>
        <w:tc>
          <w:tcPr>
            <w:tcW w:w="318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4D6DE"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分时电价</w:t>
            </w:r>
          </w:p>
        </w:tc>
        <w:tc>
          <w:tcPr>
            <w:tcW w:w="121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3C257"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变压器</w:t>
            </w:r>
            <w:proofErr w:type="gramStart"/>
            <w:r w:rsidRPr="001D352B">
              <w:rPr>
                <w:rFonts w:ascii="宋体" w:eastAsia="宋体" w:hAnsi="宋体" w:cs="宋体"/>
                <w:b/>
                <w:bCs/>
                <w:color w:val="000000"/>
                <w:kern w:val="0"/>
                <w:sz w:val="23"/>
                <w:szCs w:val="23"/>
              </w:rPr>
              <w:t>容量元/千瓦/</w:t>
            </w:r>
            <w:proofErr w:type="gramEnd"/>
            <w:r w:rsidRPr="001D352B">
              <w:rPr>
                <w:rFonts w:ascii="宋体" w:eastAsia="宋体" w:hAnsi="宋体" w:cs="宋体"/>
                <w:b/>
                <w:bCs/>
                <w:color w:val="000000"/>
                <w:kern w:val="0"/>
                <w:sz w:val="23"/>
                <w:szCs w:val="23"/>
              </w:rPr>
              <w:t>月</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34637"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最大需量 元/</w:t>
            </w:r>
            <w:proofErr w:type="gramStart"/>
            <w:r w:rsidRPr="001D352B">
              <w:rPr>
                <w:rFonts w:ascii="宋体" w:eastAsia="宋体" w:hAnsi="宋体" w:cs="宋体"/>
                <w:b/>
                <w:bCs/>
                <w:color w:val="000000"/>
                <w:kern w:val="0"/>
                <w:sz w:val="23"/>
                <w:szCs w:val="23"/>
              </w:rPr>
              <w:t>千瓦/</w:t>
            </w:r>
            <w:proofErr w:type="gramEnd"/>
            <w:r w:rsidRPr="001D352B">
              <w:rPr>
                <w:rFonts w:ascii="宋体" w:eastAsia="宋体" w:hAnsi="宋体" w:cs="宋体"/>
                <w:b/>
                <w:bCs/>
                <w:color w:val="000000"/>
                <w:kern w:val="0"/>
                <w:sz w:val="23"/>
                <w:szCs w:val="23"/>
              </w:rPr>
              <w:t>月</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9982C" w14:textId="77777777" w:rsidR="001D352B" w:rsidRPr="001D352B" w:rsidRDefault="001D352B" w:rsidP="001D352B">
            <w:pPr>
              <w:widowControl/>
              <w:jc w:val="center"/>
              <w:rPr>
                <w:rFonts w:ascii="宋体" w:eastAsia="宋体" w:hAnsi="宋体" w:cs="宋体"/>
                <w:b/>
                <w:bCs/>
                <w:color w:val="000000"/>
                <w:kern w:val="0"/>
                <w:sz w:val="23"/>
                <w:szCs w:val="23"/>
              </w:rPr>
            </w:pPr>
          </w:p>
        </w:tc>
      </w:tr>
      <w:tr w:rsidR="001D352B" w:rsidRPr="001D352B" w14:paraId="738512B4" w14:textId="77777777" w:rsidTr="001D352B">
        <w:trPr>
          <w:gridAfter w:val="1"/>
          <w:trHeight w:val="312"/>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C000B"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A8A54"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97463"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105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2B276"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峰电价</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53110"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平电价</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7DE46"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谷电价</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6E464"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4BCAC"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7055A" w14:textId="77777777" w:rsidR="001D352B" w:rsidRPr="001D352B" w:rsidRDefault="001D352B" w:rsidP="001D352B">
            <w:pPr>
              <w:widowControl/>
              <w:jc w:val="center"/>
              <w:rPr>
                <w:rFonts w:ascii="宋体" w:eastAsia="宋体" w:hAnsi="宋体" w:cs="宋体"/>
                <w:b/>
                <w:bCs/>
                <w:color w:val="000000"/>
                <w:kern w:val="0"/>
                <w:sz w:val="23"/>
                <w:szCs w:val="23"/>
              </w:rPr>
            </w:pPr>
          </w:p>
        </w:tc>
      </w:tr>
      <w:tr w:rsidR="001D352B" w:rsidRPr="001D352B" w14:paraId="7BD656F3" w14:textId="77777777" w:rsidTr="001D352B">
        <w:trPr>
          <w:trHeight w:val="120"/>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B6865"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0BED6"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5F0E9"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7D3F7"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B82D9"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789B0"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9EA06"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3ADCA"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EEE69"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shd w:val="clear" w:color="auto" w:fill="FFFFFF"/>
            <w:vAlign w:val="center"/>
            <w:hideMark/>
          </w:tcPr>
          <w:p w14:paraId="795CE551" w14:textId="77777777" w:rsidR="001D352B" w:rsidRPr="001D352B" w:rsidRDefault="001D352B" w:rsidP="001D352B">
            <w:pPr>
              <w:widowControl/>
              <w:jc w:val="center"/>
              <w:rPr>
                <w:rFonts w:ascii="宋体" w:eastAsia="宋体" w:hAnsi="宋体" w:cs="宋体"/>
                <w:b/>
                <w:bCs/>
                <w:color w:val="000000"/>
                <w:kern w:val="0"/>
                <w:sz w:val="23"/>
                <w:szCs w:val="23"/>
              </w:rPr>
            </w:pPr>
          </w:p>
        </w:tc>
      </w:tr>
      <w:tr w:rsidR="001D352B" w:rsidRPr="001D352B" w14:paraId="2510EA62" w14:textId="77777777" w:rsidTr="001D352B">
        <w:trPr>
          <w:trHeight w:val="360"/>
          <w:tblCellSpacing w:w="15" w:type="dxa"/>
        </w:trPr>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2924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单一制</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36EB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居民生活用电</w:t>
            </w:r>
          </w:p>
        </w:tc>
        <w:tc>
          <w:tcPr>
            <w:tcW w:w="12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B14AF"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一户一表居民用户</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54C0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第一档</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262D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0-3120（含）</w:t>
            </w:r>
          </w:p>
        </w:tc>
        <w:tc>
          <w:tcPr>
            <w:tcW w:w="15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691B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0.617</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121D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0.617</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C722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4005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0.307</w:t>
            </w:r>
          </w:p>
        </w:tc>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E9A2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B62C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435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9BCD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上海市居民阶梯电价按照年度电量为单位实施。实施阶梯电价</w:t>
            </w:r>
            <w:proofErr w:type="gramStart"/>
            <w:r w:rsidRPr="001D352B">
              <w:rPr>
                <w:rFonts w:ascii="宋体" w:eastAsia="宋体" w:hAnsi="宋体" w:cs="宋体"/>
                <w:color w:val="000000"/>
                <w:kern w:val="0"/>
                <w:sz w:val="23"/>
                <w:szCs w:val="23"/>
              </w:rPr>
              <w:t>后当前</w:t>
            </w:r>
            <w:proofErr w:type="gramEnd"/>
            <w:r w:rsidRPr="001D352B">
              <w:rPr>
                <w:rFonts w:ascii="宋体" w:eastAsia="宋体" w:hAnsi="宋体" w:cs="宋体"/>
                <w:color w:val="000000"/>
                <w:kern w:val="0"/>
                <w:sz w:val="23"/>
                <w:szCs w:val="23"/>
              </w:rPr>
              <w:t>按月抄表并结算电费方式不变，当累计电量达到年度阶梯电量分档基数临界点后，即开始实行阶梯加价。阶梯电价按年为周期执行，新的周期阶梯基数以0度起计算。</w:t>
            </w:r>
          </w:p>
        </w:tc>
        <w:tc>
          <w:tcPr>
            <w:tcW w:w="0" w:type="auto"/>
            <w:shd w:val="clear" w:color="auto" w:fill="FFFFFF"/>
            <w:vAlign w:val="center"/>
            <w:hideMark/>
          </w:tcPr>
          <w:p w14:paraId="053D8B2D"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0A76E966" w14:textId="77777777" w:rsidTr="001D352B">
        <w:trPr>
          <w:trHeight w:val="300"/>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C6B73"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2D6F2"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CD649"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5763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第二档</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5626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3121-4800（含）</w:t>
            </w:r>
          </w:p>
        </w:tc>
        <w:tc>
          <w:tcPr>
            <w:tcW w:w="15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C6F9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0.667</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0F45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0.677</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A0EA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1428F"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0.337</w:t>
            </w:r>
          </w:p>
        </w:tc>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347A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FE9F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F99F3"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6021C45C"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50D42CAF" w14:textId="77777777" w:rsidTr="001D352B">
        <w:trPr>
          <w:trHeight w:val="31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E497B8"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D2104"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898FB"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198D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第三档</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1712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4800以上</w:t>
            </w:r>
          </w:p>
        </w:tc>
        <w:tc>
          <w:tcPr>
            <w:tcW w:w="15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DF6F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0.917</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79AB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0.977</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6975F"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A094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0.487</w:t>
            </w:r>
          </w:p>
        </w:tc>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1D21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671B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612EA"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012057C7"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376764FF" w14:textId="77777777" w:rsidTr="001D352B">
        <w:trPr>
          <w:trHeight w:val="600"/>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3110C"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71E5DB" w14:textId="77777777" w:rsidR="001D352B" w:rsidRPr="001D352B" w:rsidRDefault="001D352B" w:rsidP="001D352B">
            <w:pPr>
              <w:widowControl/>
              <w:jc w:val="center"/>
              <w:rPr>
                <w:rFonts w:ascii="宋体" w:eastAsia="宋体" w:hAnsi="宋体" w:cs="宋体"/>
                <w:color w:val="000000"/>
                <w:kern w:val="0"/>
                <w:sz w:val="23"/>
                <w:szCs w:val="23"/>
              </w:rPr>
            </w:pPr>
          </w:p>
        </w:tc>
        <w:tc>
          <w:tcPr>
            <w:tcW w:w="12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BDD0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非居民用户</w:t>
            </w:r>
            <w:r w:rsidRPr="001D352B">
              <w:rPr>
                <w:rFonts w:ascii="宋体" w:eastAsia="宋体" w:hAnsi="宋体" w:cs="宋体"/>
                <w:color w:val="000000"/>
                <w:kern w:val="0"/>
                <w:sz w:val="23"/>
                <w:szCs w:val="23"/>
              </w:rPr>
              <w:br/>
              <w:t>（学校、养老院、居民公建设施等）</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AA05B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不满1千伏</w:t>
            </w:r>
          </w:p>
        </w:tc>
        <w:tc>
          <w:tcPr>
            <w:tcW w:w="15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9361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0.641</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CBB3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702E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7FEC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54F6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36CE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E6590D"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70F30DDA"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0D597A97" w14:textId="77777777" w:rsidTr="001D352B">
        <w:trPr>
          <w:trHeight w:val="720"/>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9A6DC5"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1DDF6"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CCD1B"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55B1F"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10千伏</w:t>
            </w:r>
          </w:p>
        </w:tc>
        <w:tc>
          <w:tcPr>
            <w:tcW w:w="15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5BE0F"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0.636</w:t>
            </w:r>
          </w:p>
        </w:tc>
        <w:tc>
          <w:tcPr>
            <w:tcW w:w="10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8FA6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BEB3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A54C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12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2FC9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70B2FF"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FDCCA"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2B1630C3"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003CE31B" w14:textId="77777777" w:rsidTr="001D352B">
        <w:trPr>
          <w:trHeight w:val="285"/>
          <w:tblCellSpacing w:w="15" w:type="dxa"/>
        </w:trPr>
        <w:tc>
          <w:tcPr>
            <w:tcW w:w="15360" w:type="dxa"/>
            <w:gridSpan w:val="12"/>
            <w:vMerge w:val="restart"/>
            <w:shd w:val="clear" w:color="auto" w:fill="FFFFFF"/>
            <w:hideMark/>
          </w:tcPr>
          <w:p w14:paraId="3CC0ACDA"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【注意】</w:t>
            </w:r>
            <w:r w:rsidRPr="001D352B">
              <w:rPr>
                <w:rFonts w:ascii="宋体" w:eastAsia="宋体" w:hAnsi="宋体" w:cs="宋体"/>
                <w:b/>
                <w:bCs/>
                <w:color w:val="000000"/>
                <w:kern w:val="0"/>
                <w:sz w:val="23"/>
                <w:szCs w:val="23"/>
              </w:rPr>
              <w:br/>
              <w:t>1、居民用户分时峰谷时段划分为：峰时段（6-22时），谷时段（22时-次日6时）；</w:t>
            </w:r>
            <w:r w:rsidRPr="001D352B">
              <w:rPr>
                <w:rFonts w:ascii="宋体" w:eastAsia="宋体" w:hAnsi="宋体" w:cs="宋体"/>
                <w:b/>
                <w:bCs/>
                <w:color w:val="000000"/>
                <w:kern w:val="0"/>
                <w:sz w:val="23"/>
                <w:szCs w:val="23"/>
              </w:rPr>
              <w:br/>
              <w:t>2、居民累计电量在第二或第三</w:t>
            </w:r>
            <w:proofErr w:type="gramStart"/>
            <w:r w:rsidRPr="001D352B">
              <w:rPr>
                <w:rFonts w:ascii="宋体" w:eastAsia="宋体" w:hAnsi="宋体" w:cs="宋体"/>
                <w:b/>
                <w:bCs/>
                <w:color w:val="000000"/>
                <w:kern w:val="0"/>
                <w:sz w:val="23"/>
                <w:szCs w:val="23"/>
              </w:rPr>
              <w:t>档</w:t>
            </w:r>
            <w:proofErr w:type="gramEnd"/>
            <w:r w:rsidRPr="001D352B">
              <w:rPr>
                <w:rFonts w:ascii="宋体" w:eastAsia="宋体" w:hAnsi="宋体" w:cs="宋体"/>
                <w:b/>
                <w:bCs/>
                <w:color w:val="000000"/>
                <w:kern w:val="0"/>
                <w:sz w:val="23"/>
                <w:szCs w:val="23"/>
              </w:rPr>
              <w:t>临界点的月份，由于当月超基数部分的峰谷电量数据无法准确区分，具体执行时，该月第二档、第三档的加价按照峰、谷均为0.05元或0.30元的加价水平执行，次月起再按峰、</w:t>
            </w:r>
            <w:proofErr w:type="gramStart"/>
            <w:r w:rsidRPr="001D352B">
              <w:rPr>
                <w:rFonts w:ascii="宋体" w:eastAsia="宋体" w:hAnsi="宋体" w:cs="宋体"/>
                <w:b/>
                <w:bCs/>
                <w:color w:val="000000"/>
                <w:kern w:val="0"/>
                <w:sz w:val="23"/>
                <w:szCs w:val="23"/>
              </w:rPr>
              <w:t>谷不同</w:t>
            </w:r>
            <w:proofErr w:type="gramEnd"/>
            <w:r w:rsidRPr="001D352B">
              <w:rPr>
                <w:rFonts w:ascii="宋体" w:eastAsia="宋体" w:hAnsi="宋体" w:cs="宋体"/>
                <w:b/>
                <w:bCs/>
                <w:color w:val="000000"/>
                <w:kern w:val="0"/>
                <w:sz w:val="23"/>
                <w:szCs w:val="23"/>
              </w:rPr>
              <w:t>加价水平执行。</w:t>
            </w:r>
            <w:r w:rsidRPr="001D352B">
              <w:rPr>
                <w:rFonts w:ascii="宋体" w:eastAsia="宋体" w:hAnsi="宋体" w:cs="宋体"/>
                <w:b/>
                <w:bCs/>
                <w:color w:val="000000"/>
                <w:kern w:val="0"/>
                <w:sz w:val="23"/>
                <w:szCs w:val="23"/>
              </w:rPr>
              <w:br/>
            </w:r>
            <w:r w:rsidRPr="001D352B">
              <w:rPr>
                <w:rFonts w:ascii="宋体" w:eastAsia="宋体" w:hAnsi="宋体" w:cs="宋体"/>
                <w:b/>
                <w:bCs/>
                <w:color w:val="000000"/>
                <w:kern w:val="0"/>
                <w:sz w:val="23"/>
                <w:szCs w:val="23"/>
              </w:rPr>
              <w:br/>
              <w:t>根据《国家发展改革委关于电网企业增值税税率调整相应降低一般工商业电价的通知》（</w:t>
            </w:r>
            <w:proofErr w:type="gramStart"/>
            <w:r w:rsidRPr="001D352B">
              <w:rPr>
                <w:rFonts w:ascii="宋体" w:eastAsia="宋体" w:hAnsi="宋体" w:cs="宋体"/>
                <w:b/>
                <w:bCs/>
                <w:color w:val="000000"/>
                <w:kern w:val="0"/>
                <w:sz w:val="23"/>
                <w:szCs w:val="23"/>
              </w:rPr>
              <w:t>发改价格</w:t>
            </w:r>
            <w:proofErr w:type="gramEnd"/>
            <w:r w:rsidRPr="001D352B">
              <w:rPr>
                <w:rFonts w:ascii="宋体" w:eastAsia="宋体" w:hAnsi="宋体" w:cs="宋体"/>
                <w:b/>
                <w:bCs/>
                <w:color w:val="000000"/>
                <w:kern w:val="0"/>
                <w:sz w:val="23"/>
                <w:szCs w:val="23"/>
              </w:rPr>
              <w:t>〔2019〕559号）、《关于降低本市一般工商业电价有关事项的通知》（</w:t>
            </w:r>
            <w:proofErr w:type="gramStart"/>
            <w:r w:rsidRPr="001D352B">
              <w:rPr>
                <w:rFonts w:ascii="宋体" w:eastAsia="宋体" w:hAnsi="宋体" w:cs="宋体"/>
                <w:b/>
                <w:bCs/>
                <w:color w:val="000000"/>
                <w:kern w:val="0"/>
                <w:sz w:val="23"/>
                <w:szCs w:val="23"/>
              </w:rPr>
              <w:t>沪发改价</w:t>
            </w:r>
            <w:proofErr w:type="gramEnd"/>
            <w:r w:rsidRPr="001D352B">
              <w:rPr>
                <w:rFonts w:ascii="宋体" w:eastAsia="宋体" w:hAnsi="宋体" w:cs="宋体"/>
                <w:b/>
                <w:bCs/>
                <w:color w:val="000000"/>
                <w:kern w:val="0"/>
                <w:sz w:val="23"/>
                <w:szCs w:val="23"/>
              </w:rPr>
              <w:t>管〔2019〕15号） 要求，经市政府同意并报国家发展改革委备案，决定将电网环节增值税税率由16%降至13%等措施形成的降价资金，</w:t>
            </w:r>
            <w:proofErr w:type="gramStart"/>
            <w:r w:rsidRPr="001D352B">
              <w:rPr>
                <w:rFonts w:ascii="宋体" w:eastAsia="宋体" w:hAnsi="宋体" w:cs="宋体"/>
                <w:b/>
                <w:bCs/>
                <w:color w:val="000000"/>
                <w:kern w:val="0"/>
                <w:sz w:val="23"/>
                <w:szCs w:val="23"/>
              </w:rPr>
              <w:t>国网上海市</w:t>
            </w:r>
            <w:proofErr w:type="gramEnd"/>
            <w:r w:rsidRPr="001D352B">
              <w:rPr>
                <w:rFonts w:ascii="宋体" w:eastAsia="宋体" w:hAnsi="宋体" w:cs="宋体"/>
                <w:b/>
                <w:bCs/>
                <w:color w:val="000000"/>
                <w:kern w:val="0"/>
                <w:sz w:val="23"/>
                <w:szCs w:val="23"/>
              </w:rPr>
              <w:t>电力公司于2019年5月1日起降低本市一般工商业电价。</w:t>
            </w:r>
            <w:r w:rsidRPr="001D352B">
              <w:rPr>
                <w:rFonts w:ascii="宋体" w:eastAsia="宋体" w:hAnsi="宋体" w:cs="宋体"/>
                <w:b/>
                <w:bCs/>
                <w:color w:val="000000"/>
                <w:kern w:val="0"/>
                <w:sz w:val="23"/>
                <w:szCs w:val="23"/>
              </w:rPr>
              <w:br/>
              <w:t>2019年5月1日上海市销售电价调整标准，具体如下：</w:t>
            </w:r>
            <w:r w:rsidRPr="001D352B">
              <w:rPr>
                <w:rFonts w:ascii="宋体" w:eastAsia="宋体" w:hAnsi="宋体" w:cs="宋体"/>
                <w:b/>
                <w:bCs/>
                <w:color w:val="000000"/>
                <w:kern w:val="0"/>
                <w:sz w:val="23"/>
                <w:szCs w:val="23"/>
              </w:rPr>
              <w:br/>
              <w:t>本市“一般工商业及其他”电价每千瓦时平均降低2.3分钱（含税），下水道动力用电价格保持不变。</w:t>
            </w:r>
          </w:p>
        </w:tc>
        <w:tc>
          <w:tcPr>
            <w:tcW w:w="0" w:type="auto"/>
            <w:shd w:val="clear" w:color="auto" w:fill="FFFFFF"/>
            <w:vAlign w:val="center"/>
            <w:hideMark/>
          </w:tcPr>
          <w:p w14:paraId="46B3F14D"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536328F1" w14:textId="77777777" w:rsidTr="001D352B">
        <w:trPr>
          <w:trHeight w:val="285"/>
          <w:tblCellSpacing w:w="15" w:type="dxa"/>
        </w:trPr>
        <w:tc>
          <w:tcPr>
            <w:tcW w:w="0" w:type="auto"/>
            <w:gridSpan w:val="12"/>
            <w:vMerge/>
            <w:shd w:val="clear" w:color="auto" w:fill="FFFFFF"/>
            <w:vAlign w:val="center"/>
            <w:hideMark/>
          </w:tcPr>
          <w:p w14:paraId="3AE124E7"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shd w:val="clear" w:color="auto" w:fill="FFFFFF"/>
            <w:vAlign w:val="center"/>
            <w:hideMark/>
          </w:tcPr>
          <w:p w14:paraId="6A517E32" w14:textId="77777777" w:rsidR="001D352B" w:rsidRPr="001D352B" w:rsidRDefault="001D352B" w:rsidP="001D352B">
            <w:pPr>
              <w:widowControl/>
              <w:jc w:val="center"/>
              <w:rPr>
                <w:rFonts w:ascii="宋体" w:eastAsia="宋体" w:hAnsi="宋体" w:cs="宋体"/>
                <w:b/>
                <w:bCs/>
                <w:color w:val="000000"/>
                <w:kern w:val="0"/>
                <w:sz w:val="23"/>
                <w:szCs w:val="23"/>
              </w:rPr>
            </w:pPr>
          </w:p>
        </w:tc>
      </w:tr>
      <w:tr w:rsidR="001D352B" w:rsidRPr="001D352B" w14:paraId="0EE6573A" w14:textId="77777777" w:rsidTr="001D352B">
        <w:trPr>
          <w:trHeight w:val="285"/>
          <w:tblCellSpacing w:w="15" w:type="dxa"/>
        </w:trPr>
        <w:tc>
          <w:tcPr>
            <w:tcW w:w="0" w:type="auto"/>
            <w:gridSpan w:val="12"/>
            <w:vMerge/>
            <w:shd w:val="clear" w:color="auto" w:fill="FFFFFF"/>
            <w:vAlign w:val="center"/>
            <w:hideMark/>
          </w:tcPr>
          <w:p w14:paraId="1E268B28"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shd w:val="clear" w:color="auto" w:fill="FFFFFF"/>
            <w:vAlign w:val="center"/>
            <w:hideMark/>
          </w:tcPr>
          <w:p w14:paraId="47B53CB2"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6D3C5CE4" w14:textId="77777777" w:rsidTr="001D352B">
        <w:trPr>
          <w:trHeight w:val="2115"/>
          <w:tblCellSpacing w:w="15" w:type="dxa"/>
        </w:trPr>
        <w:tc>
          <w:tcPr>
            <w:tcW w:w="0" w:type="auto"/>
            <w:gridSpan w:val="12"/>
            <w:vMerge/>
            <w:shd w:val="clear" w:color="auto" w:fill="FFFFFF"/>
            <w:vAlign w:val="center"/>
            <w:hideMark/>
          </w:tcPr>
          <w:p w14:paraId="35AD0863"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shd w:val="clear" w:color="auto" w:fill="FFFFFF"/>
            <w:vAlign w:val="center"/>
            <w:hideMark/>
          </w:tcPr>
          <w:p w14:paraId="4A27A045"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bl>
    <w:p w14:paraId="3FC49143" w14:textId="77777777" w:rsidR="001D352B" w:rsidRPr="001D352B" w:rsidRDefault="001D352B" w:rsidP="001D352B">
      <w:pPr>
        <w:widowControl/>
        <w:spacing w:line="435" w:lineRule="atLeast"/>
        <w:jc w:val="center"/>
        <w:rPr>
          <w:rFonts w:ascii="微软雅黑" w:eastAsia="微软雅黑" w:hAnsi="微软雅黑" w:cs="宋体"/>
          <w:vanish/>
          <w:color w:val="666666"/>
          <w:kern w:val="0"/>
          <w:sz w:val="24"/>
          <w:szCs w:val="24"/>
        </w:rPr>
      </w:pPr>
    </w:p>
    <w:tbl>
      <w:tblPr>
        <w:tblW w:w="12000" w:type="dxa"/>
        <w:tblCellSpacing w:w="15" w:type="dxa"/>
        <w:shd w:val="clear" w:color="auto" w:fill="EEEEEE"/>
        <w:tblCellMar>
          <w:left w:w="0" w:type="dxa"/>
          <w:right w:w="0" w:type="dxa"/>
        </w:tblCellMar>
        <w:tblLook w:val="04A0" w:firstRow="1" w:lastRow="0" w:firstColumn="1" w:lastColumn="0" w:noHBand="0" w:noVBand="1"/>
      </w:tblPr>
      <w:tblGrid>
        <w:gridCol w:w="749"/>
        <w:gridCol w:w="734"/>
        <w:gridCol w:w="929"/>
        <w:gridCol w:w="734"/>
        <w:gridCol w:w="1266"/>
        <w:gridCol w:w="1591"/>
        <w:gridCol w:w="1648"/>
        <w:gridCol w:w="1558"/>
        <w:gridCol w:w="1360"/>
        <w:gridCol w:w="1344"/>
        <w:gridCol w:w="36"/>
        <w:gridCol w:w="51"/>
      </w:tblGrid>
      <w:tr w:rsidR="001D352B" w:rsidRPr="001D352B" w14:paraId="65332313" w14:textId="77777777" w:rsidTr="001D352B">
        <w:trPr>
          <w:gridAfter w:val="1"/>
          <w:trHeight w:val="675"/>
          <w:tblCellSpacing w:w="15" w:type="dxa"/>
        </w:trPr>
        <w:tc>
          <w:tcPr>
            <w:tcW w:w="16740" w:type="dxa"/>
            <w:gridSpan w:val="10"/>
            <w:shd w:val="clear" w:color="auto" w:fill="FFFFFF"/>
            <w:vAlign w:val="center"/>
            <w:hideMark/>
          </w:tcPr>
          <w:p w14:paraId="730589AF" w14:textId="77777777" w:rsidR="001D352B" w:rsidRPr="001D352B" w:rsidRDefault="001D352B" w:rsidP="001D352B">
            <w:pPr>
              <w:widowControl/>
              <w:jc w:val="center"/>
              <w:rPr>
                <w:rFonts w:ascii="宋体" w:eastAsia="宋体" w:hAnsi="宋体" w:cs="宋体"/>
                <w:b/>
                <w:bCs/>
                <w:color w:val="000000"/>
                <w:kern w:val="0"/>
                <w:sz w:val="24"/>
                <w:szCs w:val="24"/>
              </w:rPr>
            </w:pPr>
            <w:r w:rsidRPr="001D352B">
              <w:rPr>
                <w:rFonts w:ascii="宋体" w:eastAsia="宋体" w:hAnsi="宋体" w:cs="宋体"/>
                <w:b/>
                <w:bCs/>
                <w:color w:val="000000"/>
                <w:kern w:val="0"/>
                <w:sz w:val="24"/>
                <w:szCs w:val="24"/>
              </w:rPr>
              <w:t>上海市非居民峰谷（分时）电价表</w:t>
            </w:r>
            <w:r w:rsidRPr="001D352B">
              <w:rPr>
                <w:rFonts w:ascii="宋体" w:eastAsia="宋体" w:hAnsi="宋体" w:cs="宋体"/>
                <w:b/>
                <w:bCs/>
                <w:color w:val="000000"/>
                <w:kern w:val="0"/>
                <w:sz w:val="24"/>
                <w:szCs w:val="24"/>
              </w:rPr>
              <w:br/>
              <w:t>执行时间：自2019年5月1日起执行</w:t>
            </w:r>
          </w:p>
        </w:tc>
        <w:tc>
          <w:tcPr>
            <w:tcW w:w="0" w:type="auto"/>
            <w:shd w:val="clear" w:color="auto" w:fill="FFFFFF"/>
            <w:vAlign w:val="center"/>
            <w:hideMark/>
          </w:tcPr>
          <w:p w14:paraId="367FF051"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7B6314E6" w14:textId="77777777" w:rsidTr="001D352B">
        <w:trPr>
          <w:gridAfter w:val="1"/>
          <w:trHeight w:val="360"/>
          <w:tblCellSpacing w:w="15" w:type="dxa"/>
        </w:trPr>
        <w:tc>
          <w:tcPr>
            <w:tcW w:w="0" w:type="auto"/>
            <w:shd w:val="clear" w:color="auto" w:fill="FFFFFF"/>
            <w:vAlign w:val="center"/>
            <w:hideMark/>
          </w:tcPr>
          <w:p w14:paraId="75D56CF6" w14:textId="77777777" w:rsidR="001D352B" w:rsidRPr="001D352B" w:rsidRDefault="001D352B" w:rsidP="001D352B">
            <w:pPr>
              <w:widowControl/>
              <w:jc w:val="center"/>
              <w:rPr>
                <w:rFonts w:ascii="宋体" w:eastAsia="宋体" w:hAnsi="宋体" w:cs="宋体"/>
                <w:kern w:val="0"/>
                <w:sz w:val="24"/>
                <w:szCs w:val="24"/>
              </w:rPr>
            </w:pPr>
          </w:p>
        </w:tc>
        <w:tc>
          <w:tcPr>
            <w:tcW w:w="15660" w:type="dxa"/>
            <w:gridSpan w:val="9"/>
            <w:shd w:val="clear" w:color="auto" w:fill="FFFFFF"/>
            <w:vAlign w:val="center"/>
            <w:hideMark/>
          </w:tcPr>
          <w:p w14:paraId="17C20A23"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0A0BA26E"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49EE771D" w14:textId="77777777" w:rsidTr="001D352B">
        <w:trPr>
          <w:gridAfter w:val="1"/>
          <w:trHeight w:val="285"/>
          <w:tblCellSpacing w:w="15" w:type="dxa"/>
        </w:trPr>
        <w:tc>
          <w:tcPr>
            <w:tcW w:w="32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25AB93"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用电分类</w:t>
            </w:r>
          </w:p>
        </w:tc>
        <w:tc>
          <w:tcPr>
            <w:tcW w:w="216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3EF28"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电压等级</w:t>
            </w:r>
          </w:p>
        </w:tc>
        <w:tc>
          <w:tcPr>
            <w:tcW w:w="721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AB9AF"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分时电价</w:t>
            </w:r>
          </w:p>
        </w:tc>
        <w:tc>
          <w:tcPr>
            <w:tcW w:w="408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234A1"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基本电价</w:t>
            </w:r>
          </w:p>
        </w:tc>
        <w:tc>
          <w:tcPr>
            <w:tcW w:w="0" w:type="auto"/>
            <w:shd w:val="clear" w:color="auto" w:fill="FFFFFF"/>
            <w:vAlign w:val="center"/>
            <w:hideMark/>
          </w:tcPr>
          <w:p w14:paraId="7589FE52"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58B1DD13" w14:textId="77777777" w:rsidTr="001D352B">
        <w:trPr>
          <w:gridAfter w:val="1"/>
          <w:trHeight w:val="285"/>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C7FF4"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5AD79"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CE222"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20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C10C3"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变压器容量</w:t>
            </w:r>
            <w:r w:rsidRPr="001D352B">
              <w:rPr>
                <w:rFonts w:ascii="宋体" w:eastAsia="宋体" w:hAnsi="宋体" w:cs="宋体"/>
                <w:b/>
                <w:bCs/>
                <w:color w:val="000000"/>
                <w:kern w:val="0"/>
                <w:sz w:val="23"/>
                <w:szCs w:val="23"/>
              </w:rPr>
              <w:br/>
              <w:t>（元/</w:t>
            </w:r>
            <w:proofErr w:type="gramStart"/>
            <w:r w:rsidRPr="001D352B">
              <w:rPr>
                <w:rFonts w:ascii="宋体" w:eastAsia="宋体" w:hAnsi="宋体" w:cs="宋体"/>
                <w:b/>
                <w:bCs/>
                <w:color w:val="000000"/>
                <w:kern w:val="0"/>
                <w:sz w:val="23"/>
                <w:szCs w:val="23"/>
              </w:rPr>
              <w:t>千瓦/</w:t>
            </w:r>
            <w:proofErr w:type="gramEnd"/>
            <w:r w:rsidRPr="001D352B">
              <w:rPr>
                <w:rFonts w:ascii="宋体" w:eastAsia="宋体" w:hAnsi="宋体" w:cs="宋体"/>
                <w:b/>
                <w:bCs/>
                <w:color w:val="000000"/>
                <w:kern w:val="0"/>
                <w:sz w:val="23"/>
                <w:szCs w:val="23"/>
              </w:rPr>
              <w:t>月）</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BDD95"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最大需量 </w:t>
            </w:r>
            <w:r w:rsidRPr="001D352B">
              <w:rPr>
                <w:rFonts w:ascii="宋体" w:eastAsia="宋体" w:hAnsi="宋体" w:cs="宋体"/>
                <w:b/>
                <w:bCs/>
                <w:color w:val="000000"/>
                <w:kern w:val="0"/>
                <w:sz w:val="23"/>
                <w:szCs w:val="23"/>
              </w:rPr>
              <w:br/>
              <w:t>（元/</w:t>
            </w:r>
            <w:proofErr w:type="gramStart"/>
            <w:r w:rsidRPr="001D352B">
              <w:rPr>
                <w:rFonts w:ascii="宋体" w:eastAsia="宋体" w:hAnsi="宋体" w:cs="宋体"/>
                <w:b/>
                <w:bCs/>
                <w:color w:val="000000"/>
                <w:kern w:val="0"/>
                <w:sz w:val="23"/>
                <w:szCs w:val="23"/>
              </w:rPr>
              <w:t>千瓦/</w:t>
            </w:r>
            <w:proofErr w:type="gramEnd"/>
            <w:r w:rsidRPr="001D352B">
              <w:rPr>
                <w:rFonts w:ascii="宋体" w:eastAsia="宋体" w:hAnsi="宋体" w:cs="宋体"/>
                <w:b/>
                <w:bCs/>
                <w:color w:val="000000"/>
                <w:kern w:val="0"/>
                <w:sz w:val="23"/>
                <w:szCs w:val="23"/>
              </w:rPr>
              <w:t>月）</w:t>
            </w:r>
          </w:p>
        </w:tc>
        <w:tc>
          <w:tcPr>
            <w:tcW w:w="0" w:type="auto"/>
            <w:shd w:val="clear" w:color="auto" w:fill="FFFFFF"/>
            <w:vAlign w:val="center"/>
            <w:hideMark/>
          </w:tcPr>
          <w:p w14:paraId="199087AE"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52839FE0" w14:textId="77777777" w:rsidTr="001D352B">
        <w:trPr>
          <w:gridAfter w:val="1"/>
          <w:trHeight w:val="285"/>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B0AF4"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FFF72"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237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772DD"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峰电价</w:t>
            </w:r>
            <w:r w:rsidRPr="001D352B">
              <w:rPr>
                <w:rFonts w:ascii="宋体" w:eastAsia="宋体" w:hAnsi="宋体" w:cs="宋体"/>
                <w:b/>
                <w:bCs/>
                <w:color w:val="000000"/>
                <w:kern w:val="0"/>
                <w:sz w:val="23"/>
                <w:szCs w:val="23"/>
              </w:rPr>
              <w:br/>
              <w:t>（元/千瓦时）</w:t>
            </w:r>
          </w:p>
        </w:tc>
        <w:tc>
          <w:tcPr>
            <w:tcW w:w="24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E2F7A"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平电价</w:t>
            </w:r>
            <w:r w:rsidRPr="001D352B">
              <w:rPr>
                <w:rFonts w:ascii="宋体" w:eastAsia="宋体" w:hAnsi="宋体" w:cs="宋体"/>
                <w:b/>
                <w:bCs/>
                <w:color w:val="000000"/>
                <w:kern w:val="0"/>
                <w:sz w:val="23"/>
                <w:szCs w:val="23"/>
              </w:rPr>
              <w:br/>
              <w:t>（元/千瓦时）</w:t>
            </w:r>
          </w:p>
        </w:tc>
        <w:tc>
          <w:tcPr>
            <w:tcW w:w="213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00EB9"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谷电价</w:t>
            </w:r>
            <w:r w:rsidRPr="001D352B">
              <w:rPr>
                <w:rFonts w:ascii="宋体" w:eastAsia="宋体" w:hAnsi="宋体" w:cs="宋体"/>
                <w:b/>
                <w:bCs/>
                <w:color w:val="000000"/>
                <w:kern w:val="0"/>
                <w:sz w:val="23"/>
                <w:szCs w:val="23"/>
              </w:rPr>
              <w:br/>
              <w:t>（元/千瓦时）</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199EA"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A5D28"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shd w:val="clear" w:color="auto" w:fill="FFFFFF"/>
            <w:vAlign w:val="center"/>
            <w:hideMark/>
          </w:tcPr>
          <w:p w14:paraId="6C249561"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2F472C53" w14:textId="77777777" w:rsidTr="001D352B">
        <w:trPr>
          <w:gridAfter w:val="1"/>
          <w:trHeight w:val="285"/>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9351C"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739C0"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F7F00"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7ED67"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B706C"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49736"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99A08"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shd w:val="clear" w:color="auto" w:fill="FFFFFF"/>
            <w:vAlign w:val="center"/>
            <w:hideMark/>
          </w:tcPr>
          <w:p w14:paraId="0C86ED38"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306784B2" w14:textId="77777777" w:rsidTr="001D352B">
        <w:trPr>
          <w:gridAfter w:val="1"/>
          <w:trHeight w:val="285"/>
          <w:tblCellSpacing w:w="15" w:type="dxa"/>
        </w:trPr>
        <w:tc>
          <w:tcPr>
            <w:tcW w:w="32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C41B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农业生产用电</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21A5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非夏季</w:t>
            </w: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8738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不满1千伏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52E0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0.749</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2B10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E637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0.383</w:t>
            </w:r>
          </w:p>
        </w:tc>
        <w:tc>
          <w:tcPr>
            <w:tcW w:w="20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2B7553"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0AC91"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08293875"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15B35089" w14:textId="77777777" w:rsidTr="001D352B">
        <w:trPr>
          <w:gridAfter w:val="1"/>
          <w:trHeight w:val="285"/>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A703E"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0AA41"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04E2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27C5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0.729</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8F77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A4C3F"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0.363</w:t>
            </w:r>
          </w:p>
        </w:tc>
        <w:tc>
          <w:tcPr>
            <w:tcW w:w="20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BF9AF"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67E86"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7870AD3F"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601763F1" w14:textId="77777777" w:rsidTr="001D352B">
        <w:trPr>
          <w:gridAfter w:val="1"/>
          <w:trHeight w:val="285"/>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55AFC"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02667"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E016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35千伏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7B66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0.709</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DD89E"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BE10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0.343</w:t>
            </w:r>
          </w:p>
        </w:tc>
        <w:tc>
          <w:tcPr>
            <w:tcW w:w="20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3BD05"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71600"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2093C5C9"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7267B20F" w14:textId="77777777" w:rsidTr="001D352B">
        <w:trPr>
          <w:gridAfter w:val="1"/>
          <w:trHeight w:val="285"/>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21007"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DE9EE"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4466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110千伏及以上</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C8E7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250E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6C0C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0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E6CBB"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E32A0"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7D990527"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2B1E46FE" w14:textId="77777777" w:rsidTr="001D352B">
        <w:trPr>
          <w:gridAfter w:val="1"/>
          <w:trHeight w:val="285"/>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6E443"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F86B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夏季</w:t>
            </w: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063BE"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不满1千伏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F1F2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0.749</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AFEA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8EEB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0.383</w:t>
            </w:r>
          </w:p>
        </w:tc>
        <w:tc>
          <w:tcPr>
            <w:tcW w:w="20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AC16A"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ADEAC"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1DED13D3"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762067EE" w14:textId="77777777" w:rsidTr="001D352B">
        <w:trPr>
          <w:gridAfter w:val="1"/>
          <w:trHeight w:val="285"/>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640BC"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E4A8E"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F16C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D8DCF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0.729</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24E1F"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BB2EF"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0.363</w:t>
            </w:r>
          </w:p>
        </w:tc>
        <w:tc>
          <w:tcPr>
            <w:tcW w:w="20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C5317"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C7D9D"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07EBA4DD"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6A7DFBA9" w14:textId="77777777" w:rsidTr="001D352B">
        <w:trPr>
          <w:gridAfter w:val="1"/>
          <w:trHeight w:val="285"/>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017C3"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C68E2"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0862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35千伏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7A77E"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0.709</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1430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5042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0.343</w:t>
            </w:r>
          </w:p>
        </w:tc>
        <w:tc>
          <w:tcPr>
            <w:tcW w:w="20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C8D13"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D145A"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0FF2A3AE"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06535EB5" w14:textId="77777777" w:rsidTr="001D352B">
        <w:trPr>
          <w:gridAfter w:val="1"/>
          <w:trHeight w:val="285"/>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C7E19"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E8104"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D83AB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110千伏及以上</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1442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0D64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82AA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0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9BEA9"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41962"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04CEA317"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38B536C3" w14:textId="77777777" w:rsidTr="001D352B">
        <w:trPr>
          <w:gridAfter w:val="1"/>
          <w:trHeight w:val="285"/>
          <w:tblCellSpacing w:w="15" w:type="dxa"/>
        </w:trPr>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505D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工商业及其他用电</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D086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单一制</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748D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一般工商业及其他用电</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1D3D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非夏季</w:t>
            </w: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7DAD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不满1千伏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3ECF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0.894</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748D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1B93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0.417</w:t>
            </w:r>
          </w:p>
        </w:tc>
        <w:tc>
          <w:tcPr>
            <w:tcW w:w="20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B746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CCA1A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6C634E06"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14A01527" w14:textId="77777777" w:rsidTr="001D352B">
        <w:trPr>
          <w:gridAfter w:val="1"/>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2B6FA"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24A05"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E7A4E"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6F008"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339C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B423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0.867</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8B63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31B3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0.390</w:t>
            </w:r>
          </w:p>
        </w:tc>
        <w:tc>
          <w:tcPr>
            <w:tcW w:w="20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818E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F019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249C20B9"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2A229F86" w14:textId="77777777" w:rsidTr="001D352B">
        <w:trPr>
          <w:gridAfter w:val="1"/>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838A1"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172EC"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299EE"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82345"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DBF7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35千伏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646C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0.840</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68D1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EECA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0.363</w:t>
            </w:r>
          </w:p>
        </w:tc>
        <w:tc>
          <w:tcPr>
            <w:tcW w:w="20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9283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8C19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470872A3"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22C5B723" w14:textId="77777777" w:rsidTr="001D352B">
        <w:trPr>
          <w:gridAfter w:val="1"/>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E9606"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E1C74"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6516D"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EA0C8"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AFED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110千伏及以上</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00E7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7F58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3E18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0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0314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ED82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4BC6C022"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66DDE7F1" w14:textId="77777777" w:rsidTr="001D352B">
        <w:trPr>
          <w:gridAfter w:val="1"/>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F8AF1"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1EF21"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FABF0"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4063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夏季</w:t>
            </w: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EE80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不满1千伏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77CE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0.925</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E89C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92A9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0.448</w:t>
            </w:r>
          </w:p>
        </w:tc>
        <w:tc>
          <w:tcPr>
            <w:tcW w:w="20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3571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0F9B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2F583B0B"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58DBAFAC" w14:textId="77777777" w:rsidTr="001D352B">
        <w:trPr>
          <w:gridAfter w:val="1"/>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7E54F"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502F5"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F431F"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EFF76"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B2DCE"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90CC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0.898</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D13E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243E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0.421</w:t>
            </w:r>
          </w:p>
        </w:tc>
        <w:tc>
          <w:tcPr>
            <w:tcW w:w="20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33EBE"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AF2B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592E1B57"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3E825059" w14:textId="77777777" w:rsidTr="001D352B">
        <w:trPr>
          <w:gridAfter w:val="1"/>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F35DE"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2846E"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F3053"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DBB1D"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0350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35千伏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E4FA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0.871</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3009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AF79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0.394</w:t>
            </w:r>
          </w:p>
        </w:tc>
        <w:tc>
          <w:tcPr>
            <w:tcW w:w="20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998C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5D45F"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7D90FE8D"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68543454" w14:textId="77777777" w:rsidTr="001D352B">
        <w:trPr>
          <w:gridAfter w:val="1"/>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13A2E"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1B400"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3542B"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0CC3E"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8191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110千伏及以上</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7C53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6003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1FB2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0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D704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8E42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53F49064"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715F5EF0" w14:textId="77777777" w:rsidTr="001D352B">
        <w:trPr>
          <w:gridAfter w:val="1"/>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858DB"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570F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两部制</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BC8C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大工业用电</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1D10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非夏季</w:t>
            </w: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D804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不满1千伏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F0DF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1.106</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7A55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0.678</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E773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0.316</w:t>
            </w:r>
          </w:p>
        </w:tc>
        <w:tc>
          <w:tcPr>
            <w:tcW w:w="20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10C0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28</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7D44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42</w:t>
            </w:r>
          </w:p>
        </w:tc>
        <w:tc>
          <w:tcPr>
            <w:tcW w:w="0" w:type="auto"/>
            <w:shd w:val="clear" w:color="auto" w:fill="FFFFFF"/>
            <w:vAlign w:val="center"/>
            <w:hideMark/>
          </w:tcPr>
          <w:p w14:paraId="68571F79"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57886167" w14:textId="77777777" w:rsidTr="001D352B">
        <w:trPr>
          <w:gridAfter w:val="1"/>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A124C"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CEA37"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21C84"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CDA4E"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FC0D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5140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1.076</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D2A6E"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0.648</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17D0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0.310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73351"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86ADC"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4D588237"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77A49FA1" w14:textId="77777777" w:rsidTr="001D352B">
        <w:trPr>
          <w:gridAfter w:val="1"/>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D9C10"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8DE03"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A0EE2"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995E5"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848F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35千伏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3DCE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1.046</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DA9F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0.618</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D1BE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0.304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3495A"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1C788"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15D06AF9"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0849B57A" w14:textId="77777777" w:rsidTr="001D352B">
        <w:trPr>
          <w:gridAfter w:val="1"/>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CE724"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C091A"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5E6B1"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FD4C6"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2A89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110千伏及以上</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9873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1.021</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5EA5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0.593</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C6B9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0.298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770AA"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A258B"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213EFBAC"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18893400" w14:textId="77777777" w:rsidTr="001D352B">
        <w:trPr>
          <w:gridAfter w:val="1"/>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3C172"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0E7C4"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80A43"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EB82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夏季</w:t>
            </w: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BAE4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不满1千伏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981C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1.148</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5958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0.720</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61FD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0.251</w:t>
            </w:r>
          </w:p>
        </w:tc>
        <w:tc>
          <w:tcPr>
            <w:tcW w:w="20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0D6DF"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28</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FF95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42</w:t>
            </w:r>
          </w:p>
        </w:tc>
        <w:tc>
          <w:tcPr>
            <w:tcW w:w="0" w:type="auto"/>
            <w:shd w:val="clear" w:color="auto" w:fill="FFFFFF"/>
            <w:vAlign w:val="center"/>
            <w:hideMark/>
          </w:tcPr>
          <w:p w14:paraId="0A6D274C"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00489884" w14:textId="77777777" w:rsidTr="001D352B">
        <w:trPr>
          <w:gridAfter w:val="1"/>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9CAFFA"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7EAB4"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3CFE9"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BF349"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128F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1D3F5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1.118</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465A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0.690</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D224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0.245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68800B"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4EADA"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2BB2AAA0"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5709FABF" w14:textId="77777777" w:rsidTr="001D352B">
        <w:trPr>
          <w:gridAfter w:val="1"/>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FB200"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CB718"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8D6C8"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47FF0"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CF1E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35千伏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895F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1.088</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3CF76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0.660</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CBEE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0.239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48780"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EFC56"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381349FB"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1CAD9851" w14:textId="77777777" w:rsidTr="001D352B">
        <w:trPr>
          <w:gridAfter w:val="1"/>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5660D"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8D371"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48446"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32C52"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83D2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110千伏及以上</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EC23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1.063</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7D383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0.635</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E211A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0.233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B5F85"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C7231"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2755ABD3"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47252AD4" w14:textId="77777777" w:rsidTr="001D352B">
        <w:trPr>
          <w:gridAfter w:val="1"/>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92D06"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1119A" w14:textId="77777777" w:rsidR="001D352B" w:rsidRPr="001D352B" w:rsidRDefault="001D352B" w:rsidP="001D352B">
            <w:pPr>
              <w:widowControl/>
              <w:jc w:val="center"/>
              <w:rPr>
                <w:rFonts w:ascii="宋体" w:eastAsia="宋体" w:hAnsi="宋体" w:cs="宋体"/>
                <w:color w:val="000000"/>
                <w:kern w:val="0"/>
                <w:sz w:val="23"/>
                <w:szCs w:val="23"/>
              </w:rPr>
            </w:pP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D134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一般工商业及</w:t>
            </w:r>
            <w:r w:rsidRPr="001D352B">
              <w:rPr>
                <w:rFonts w:ascii="宋体" w:eastAsia="宋体" w:hAnsi="宋体" w:cs="宋体"/>
                <w:color w:val="000000"/>
                <w:kern w:val="0"/>
                <w:sz w:val="23"/>
                <w:szCs w:val="23"/>
              </w:rPr>
              <w:lastRenderedPageBreak/>
              <w:t>其他用电</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9EFA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lastRenderedPageBreak/>
              <w:t>非夏季</w:t>
            </w: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A9CC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不满1千伏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D34F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0.991</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6BED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0.602</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39A9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0.278</w:t>
            </w:r>
          </w:p>
        </w:tc>
        <w:tc>
          <w:tcPr>
            <w:tcW w:w="20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E68F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25.2</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D00E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37.8</w:t>
            </w:r>
          </w:p>
        </w:tc>
        <w:tc>
          <w:tcPr>
            <w:tcW w:w="0" w:type="auto"/>
            <w:shd w:val="clear" w:color="auto" w:fill="FFFFFF"/>
            <w:vAlign w:val="center"/>
            <w:hideMark/>
          </w:tcPr>
          <w:p w14:paraId="37E77FF8"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7E8714C0" w14:textId="77777777" w:rsidTr="001D352B">
        <w:trPr>
          <w:gridAfter w:val="1"/>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8E9C5"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D13D7"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F00E3"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1DFE1"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6854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C45DD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0.964</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0176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0.575</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DD93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0.273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2681F"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14AFE"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7C26FB64"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462484E1" w14:textId="77777777" w:rsidTr="001D352B">
        <w:trPr>
          <w:gridAfter w:val="1"/>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3F978"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643D7"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56161"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58AA6"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4D5E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35千伏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FB3D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0.937</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3621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0.548</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64F6F"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0.267</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2620A"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7F844"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60FC325A"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55B4DAC4" w14:textId="77777777" w:rsidTr="001D352B">
        <w:trPr>
          <w:gridAfter w:val="1"/>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A91F2"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D9B19"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3F20A"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93FF3"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730B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110千伏及以上</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46B0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0.914</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A5B7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0.526</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2892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0.262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3FF6B"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AA7CE"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13844E19"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68CADAE2" w14:textId="77777777" w:rsidTr="001D352B">
        <w:trPr>
          <w:gridAfter w:val="1"/>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96833"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F1B95"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1FFAA"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A031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夏季</w:t>
            </w: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627A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不满1千伏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C33BE"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1.022</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9E67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0.634</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DAAF3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0.220</w:t>
            </w:r>
          </w:p>
        </w:tc>
        <w:tc>
          <w:tcPr>
            <w:tcW w:w="20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1420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25.2</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EC6F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37.8</w:t>
            </w:r>
          </w:p>
        </w:tc>
        <w:tc>
          <w:tcPr>
            <w:tcW w:w="0" w:type="auto"/>
            <w:shd w:val="clear" w:color="auto" w:fill="FFFFFF"/>
            <w:vAlign w:val="center"/>
            <w:hideMark/>
          </w:tcPr>
          <w:p w14:paraId="14B46D1E"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3A1844E5" w14:textId="77777777" w:rsidTr="001D352B">
        <w:trPr>
          <w:gridAfter w:val="1"/>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BF8C7"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3BA9E"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B0E73"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C61D75"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4D68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6449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0.995</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24F5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0.607</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B7BF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0.214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EF8F5"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1CD8E"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4517B8C5"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7CBFBA6D" w14:textId="77777777" w:rsidTr="001D352B">
        <w:trPr>
          <w:gridAfter w:val="1"/>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7CB2C"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A49DA"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FF521"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BD106"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EAB7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35千伏</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40D3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0.968</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B671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0.580</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EF07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0.209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AE808"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45198"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6FBB3A7D"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57E8BA12" w14:textId="77777777" w:rsidTr="001D352B">
        <w:trPr>
          <w:gridAfter w:val="1"/>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FF2E3"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5E215"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EFD86"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0B281" w14:textId="77777777" w:rsidR="001D352B" w:rsidRPr="001D352B" w:rsidRDefault="001D352B" w:rsidP="001D352B">
            <w:pPr>
              <w:widowControl/>
              <w:jc w:val="center"/>
              <w:rPr>
                <w:rFonts w:ascii="宋体" w:eastAsia="宋体" w:hAnsi="宋体" w:cs="宋体"/>
                <w:color w:val="000000"/>
                <w:kern w:val="0"/>
                <w:sz w:val="23"/>
                <w:szCs w:val="23"/>
              </w:rPr>
            </w:pPr>
          </w:p>
        </w:tc>
        <w:tc>
          <w:tcPr>
            <w:tcW w:w="1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CDADF"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110千伏及以上</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59F5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0.946</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D951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0.557</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E0CDE"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0.203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07564"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467E0"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1C71E19B" w14:textId="77777777" w:rsidR="001D352B" w:rsidRPr="001D352B" w:rsidRDefault="001D352B" w:rsidP="001D352B">
            <w:pPr>
              <w:widowControl/>
              <w:jc w:val="center"/>
              <w:rPr>
                <w:rFonts w:ascii="宋体" w:eastAsia="宋体" w:hAnsi="宋体" w:cs="宋体"/>
                <w:kern w:val="0"/>
                <w:sz w:val="24"/>
                <w:szCs w:val="24"/>
              </w:rPr>
            </w:pPr>
          </w:p>
        </w:tc>
      </w:tr>
      <w:tr w:rsidR="001D352B" w:rsidRPr="001D352B" w14:paraId="5AAC6B62" w14:textId="77777777" w:rsidTr="001D352B">
        <w:trPr>
          <w:gridAfter w:val="1"/>
          <w:trHeight w:val="3090"/>
          <w:tblCellSpacing w:w="15" w:type="dxa"/>
        </w:trPr>
        <w:tc>
          <w:tcPr>
            <w:tcW w:w="17820" w:type="dxa"/>
            <w:gridSpan w:val="11"/>
            <w:vMerge w:val="restart"/>
            <w:shd w:val="clear" w:color="auto" w:fill="FFFFFF"/>
            <w:vAlign w:val="center"/>
            <w:hideMark/>
          </w:tcPr>
          <w:p w14:paraId="16371850" w14:textId="77777777" w:rsidR="001D352B" w:rsidRPr="001D352B" w:rsidRDefault="001D352B" w:rsidP="001D352B">
            <w:pPr>
              <w:widowControl/>
              <w:spacing w:after="240"/>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【注意】</w:t>
            </w:r>
            <w:r w:rsidRPr="001D352B">
              <w:rPr>
                <w:rFonts w:ascii="宋体" w:eastAsia="宋体" w:hAnsi="宋体" w:cs="宋体"/>
                <w:b/>
                <w:bCs/>
                <w:color w:val="000000"/>
                <w:kern w:val="0"/>
                <w:sz w:val="23"/>
                <w:szCs w:val="23"/>
              </w:rPr>
              <w:br/>
              <w:t>1、非居民分时电价时段划分为：</w:t>
            </w:r>
            <w:r w:rsidRPr="001D352B">
              <w:rPr>
                <w:rFonts w:ascii="宋体" w:eastAsia="宋体" w:hAnsi="宋体" w:cs="宋体"/>
                <w:b/>
                <w:bCs/>
                <w:color w:val="000000"/>
                <w:kern w:val="0"/>
                <w:sz w:val="23"/>
                <w:szCs w:val="23"/>
              </w:rPr>
              <w:br/>
              <w:t>（1）单一制：峰时段（6-22时），谷时段（22时-次日6时）；</w:t>
            </w:r>
            <w:r w:rsidRPr="001D352B">
              <w:rPr>
                <w:rFonts w:ascii="宋体" w:eastAsia="宋体" w:hAnsi="宋体" w:cs="宋体"/>
                <w:b/>
                <w:bCs/>
                <w:color w:val="000000"/>
                <w:kern w:val="0"/>
                <w:sz w:val="23"/>
                <w:szCs w:val="23"/>
              </w:rPr>
              <w:br/>
              <w:t>（2）两部制非夏季：峰时段（8-11时、18-21时），平时段（6-8时、 11-18时、21-22时），谷时段（22时- 次日6时）；</w:t>
            </w:r>
            <w:r w:rsidRPr="001D352B">
              <w:rPr>
                <w:rFonts w:ascii="宋体" w:eastAsia="宋体" w:hAnsi="宋体" w:cs="宋体"/>
                <w:b/>
                <w:bCs/>
                <w:color w:val="000000"/>
                <w:kern w:val="0"/>
                <w:sz w:val="23"/>
                <w:szCs w:val="23"/>
              </w:rPr>
              <w:br/>
              <w:t>（3）两部制夏季：峰时段（8-11时、13－15时，18-21时），平时段（6-8时、11-13时、15-18时，21－22时），谷时段（22时- 次日6时）。</w:t>
            </w:r>
            <w:r w:rsidRPr="001D352B">
              <w:rPr>
                <w:rFonts w:ascii="宋体" w:eastAsia="宋体" w:hAnsi="宋体" w:cs="宋体"/>
                <w:b/>
                <w:bCs/>
                <w:color w:val="000000"/>
                <w:kern w:val="0"/>
                <w:sz w:val="23"/>
                <w:szCs w:val="23"/>
              </w:rPr>
              <w:br/>
              <w:t>2、以上非居民电价均含政府性基金及附加，具体为：</w:t>
            </w:r>
            <w:r w:rsidRPr="001D352B">
              <w:rPr>
                <w:rFonts w:ascii="宋体" w:eastAsia="宋体" w:hAnsi="宋体" w:cs="宋体"/>
                <w:b/>
                <w:bCs/>
                <w:color w:val="000000"/>
                <w:kern w:val="0"/>
                <w:sz w:val="23"/>
                <w:szCs w:val="23"/>
              </w:rPr>
              <w:br/>
              <w:t>（1）国家重大水利工程建设基金0.783分钱；</w:t>
            </w:r>
            <w:r w:rsidRPr="001D352B">
              <w:rPr>
                <w:rFonts w:ascii="宋体" w:eastAsia="宋体" w:hAnsi="宋体" w:cs="宋体"/>
                <w:b/>
                <w:bCs/>
                <w:color w:val="000000"/>
                <w:kern w:val="0"/>
                <w:sz w:val="23"/>
                <w:szCs w:val="23"/>
              </w:rPr>
              <w:br/>
              <w:t>（2）大中型水库移民后期扶持资金（农业生产用电除外）0.62分钱；</w:t>
            </w:r>
            <w:r w:rsidRPr="001D352B">
              <w:rPr>
                <w:rFonts w:ascii="宋体" w:eastAsia="宋体" w:hAnsi="宋体" w:cs="宋体"/>
                <w:b/>
                <w:bCs/>
                <w:color w:val="000000"/>
                <w:kern w:val="0"/>
                <w:sz w:val="23"/>
                <w:szCs w:val="23"/>
              </w:rPr>
              <w:br/>
              <w:t>（3）可再生能源电价附加：居民用电0.1分钱，其他各类用电（农业生产用电除外）1.9分钱；</w:t>
            </w:r>
            <w:r w:rsidRPr="001D352B">
              <w:rPr>
                <w:rFonts w:ascii="宋体" w:eastAsia="宋体" w:hAnsi="宋体" w:cs="宋体"/>
                <w:b/>
                <w:bCs/>
                <w:color w:val="000000"/>
                <w:kern w:val="0"/>
                <w:sz w:val="23"/>
                <w:szCs w:val="23"/>
              </w:rPr>
              <w:br/>
            </w:r>
            <w:r w:rsidRPr="001D352B">
              <w:rPr>
                <w:rFonts w:ascii="宋体" w:eastAsia="宋体" w:hAnsi="宋体" w:cs="宋体"/>
                <w:b/>
                <w:bCs/>
                <w:color w:val="000000"/>
                <w:kern w:val="0"/>
                <w:sz w:val="23"/>
                <w:szCs w:val="23"/>
              </w:rPr>
              <w:br/>
            </w:r>
            <w:r w:rsidRPr="001D352B">
              <w:rPr>
                <w:rFonts w:ascii="宋体" w:eastAsia="宋体" w:hAnsi="宋体" w:cs="宋体"/>
                <w:b/>
                <w:bCs/>
                <w:color w:val="000000"/>
                <w:kern w:val="0"/>
                <w:sz w:val="23"/>
                <w:szCs w:val="23"/>
              </w:rPr>
              <w:br/>
              <w:t>根据《国家发展改革委关于电网企业增值税税率调整相应降低一般工商业电价的通知》（</w:t>
            </w:r>
            <w:proofErr w:type="gramStart"/>
            <w:r w:rsidRPr="001D352B">
              <w:rPr>
                <w:rFonts w:ascii="宋体" w:eastAsia="宋体" w:hAnsi="宋体" w:cs="宋体"/>
                <w:b/>
                <w:bCs/>
                <w:color w:val="000000"/>
                <w:kern w:val="0"/>
                <w:sz w:val="23"/>
                <w:szCs w:val="23"/>
              </w:rPr>
              <w:t>发改价格</w:t>
            </w:r>
            <w:proofErr w:type="gramEnd"/>
            <w:r w:rsidRPr="001D352B">
              <w:rPr>
                <w:rFonts w:ascii="宋体" w:eastAsia="宋体" w:hAnsi="宋体" w:cs="宋体"/>
                <w:b/>
                <w:bCs/>
                <w:color w:val="000000"/>
                <w:kern w:val="0"/>
                <w:sz w:val="23"/>
                <w:szCs w:val="23"/>
              </w:rPr>
              <w:t>〔2019〕559号）、《关于降低本市一般工商业电价有关事项的通知》（</w:t>
            </w:r>
            <w:proofErr w:type="gramStart"/>
            <w:r w:rsidRPr="001D352B">
              <w:rPr>
                <w:rFonts w:ascii="宋体" w:eastAsia="宋体" w:hAnsi="宋体" w:cs="宋体"/>
                <w:b/>
                <w:bCs/>
                <w:color w:val="000000"/>
                <w:kern w:val="0"/>
                <w:sz w:val="23"/>
                <w:szCs w:val="23"/>
              </w:rPr>
              <w:t>沪发改价</w:t>
            </w:r>
            <w:proofErr w:type="gramEnd"/>
            <w:r w:rsidRPr="001D352B">
              <w:rPr>
                <w:rFonts w:ascii="宋体" w:eastAsia="宋体" w:hAnsi="宋体" w:cs="宋体"/>
                <w:b/>
                <w:bCs/>
                <w:color w:val="000000"/>
                <w:kern w:val="0"/>
                <w:sz w:val="23"/>
                <w:szCs w:val="23"/>
              </w:rPr>
              <w:t>管〔2019〕15号） 要求，经市政府同意并报国家发展改革委备案，决定将电网环节增值税税率由16%降至13%等措施形成的降价资金，</w:t>
            </w:r>
            <w:proofErr w:type="gramStart"/>
            <w:r w:rsidRPr="001D352B">
              <w:rPr>
                <w:rFonts w:ascii="宋体" w:eastAsia="宋体" w:hAnsi="宋体" w:cs="宋体"/>
                <w:b/>
                <w:bCs/>
                <w:color w:val="000000"/>
                <w:kern w:val="0"/>
                <w:sz w:val="23"/>
                <w:szCs w:val="23"/>
              </w:rPr>
              <w:t>国网上海市</w:t>
            </w:r>
            <w:proofErr w:type="gramEnd"/>
            <w:r w:rsidRPr="001D352B">
              <w:rPr>
                <w:rFonts w:ascii="宋体" w:eastAsia="宋体" w:hAnsi="宋体" w:cs="宋体"/>
                <w:b/>
                <w:bCs/>
                <w:color w:val="000000"/>
                <w:kern w:val="0"/>
                <w:sz w:val="23"/>
                <w:szCs w:val="23"/>
              </w:rPr>
              <w:t>电力公司于2019年5月1日起降低本市一般工商业电价。</w:t>
            </w:r>
            <w:r w:rsidRPr="001D352B">
              <w:rPr>
                <w:rFonts w:ascii="宋体" w:eastAsia="宋体" w:hAnsi="宋体" w:cs="宋体"/>
                <w:b/>
                <w:bCs/>
                <w:color w:val="000000"/>
                <w:kern w:val="0"/>
                <w:sz w:val="23"/>
                <w:szCs w:val="23"/>
              </w:rPr>
              <w:br/>
              <w:t>2019年5月1日上海市销售电价调整标准，具体如下：</w:t>
            </w:r>
            <w:r w:rsidRPr="001D352B">
              <w:rPr>
                <w:rFonts w:ascii="宋体" w:eastAsia="宋体" w:hAnsi="宋体" w:cs="宋体"/>
                <w:b/>
                <w:bCs/>
                <w:color w:val="000000"/>
                <w:kern w:val="0"/>
                <w:sz w:val="23"/>
                <w:szCs w:val="23"/>
              </w:rPr>
              <w:br/>
              <w:t>本市“一般工商业及其他”电价每千瓦时平均降低2.3分钱（含税），下水道动力用电价格保持不变。</w:t>
            </w:r>
            <w:r w:rsidRPr="001D352B">
              <w:rPr>
                <w:rFonts w:ascii="宋体" w:eastAsia="宋体" w:hAnsi="宋体" w:cs="宋体"/>
                <w:b/>
                <w:bCs/>
                <w:color w:val="000000"/>
                <w:kern w:val="0"/>
                <w:sz w:val="23"/>
                <w:szCs w:val="23"/>
              </w:rPr>
              <w:br/>
            </w:r>
          </w:p>
        </w:tc>
      </w:tr>
      <w:tr w:rsidR="001D352B" w:rsidRPr="001D352B" w14:paraId="6C48FE00" w14:textId="77777777" w:rsidTr="001D352B">
        <w:trPr>
          <w:trHeight w:val="1860"/>
          <w:tblCellSpacing w:w="15" w:type="dxa"/>
        </w:trPr>
        <w:tc>
          <w:tcPr>
            <w:tcW w:w="0" w:type="auto"/>
            <w:gridSpan w:val="11"/>
            <w:vMerge/>
            <w:shd w:val="clear" w:color="auto" w:fill="FFFFFF"/>
            <w:vAlign w:val="center"/>
            <w:hideMark/>
          </w:tcPr>
          <w:p w14:paraId="23A082E4"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shd w:val="clear" w:color="auto" w:fill="FFFFFF"/>
            <w:vAlign w:val="center"/>
            <w:hideMark/>
          </w:tcPr>
          <w:p w14:paraId="5FCA3B12" w14:textId="77777777" w:rsidR="001D352B" w:rsidRPr="001D352B" w:rsidRDefault="001D352B" w:rsidP="001D352B">
            <w:pPr>
              <w:widowControl/>
              <w:spacing w:after="240"/>
              <w:jc w:val="center"/>
              <w:rPr>
                <w:rFonts w:ascii="宋体" w:eastAsia="宋体" w:hAnsi="宋体" w:cs="宋体"/>
                <w:b/>
                <w:bCs/>
                <w:color w:val="000000"/>
                <w:kern w:val="0"/>
                <w:sz w:val="23"/>
                <w:szCs w:val="23"/>
              </w:rPr>
            </w:pPr>
          </w:p>
        </w:tc>
      </w:tr>
    </w:tbl>
    <w:p w14:paraId="47452562" w14:textId="77777777" w:rsidR="001D352B" w:rsidRPr="001D352B" w:rsidRDefault="001D352B" w:rsidP="001D352B">
      <w:pPr>
        <w:widowControl/>
        <w:spacing w:line="435" w:lineRule="atLeast"/>
        <w:jc w:val="center"/>
        <w:rPr>
          <w:rFonts w:ascii="微软雅黑" w:eastAsia="微软雅黑" w:hAnsi="微软雅黑" w:cs="宋体"/>
          <w:vanish/>
          <w:color w:val="666666"/>
          <w:kern w:val="0"/>
          <w:sz w:val="24"/>
          <w:szCs w:val="24"/>
        </w:rPr>
      </w:pPr>
    </w:p>
    <w:tbl>
      <w:tblPr>
        <w:tblW w:w="12000" w:type="dxa"/>
        <w:tblCellSpacing w:w="15" w:type="dxa"/>
        <w:shd w:val="clear" w:color="auto" w:fill="EEEEEE"/>
        <w:tblCellMar>
          <w:left w:w="0" w:type="dxa"/>
          <w:right w:w="0" w:type="dxa"/>
        </w:tblCellMar>
        <w:tblLook w:val="04A0" w:firstRow="1" w:lastRow="0" w:firstColumn="1" w:lastColumn="0" w:noHBand="0" w:noVBand="1"/>
      </w:tblPr>
      <w:tblGrid>
        <w:gridCol w:w="992"/>
        <w:gridCol w:w="977"/>
        <w:gridCol w:w="1014"/>
        <w:gridCol w:w="977"/>
        <w:gridCol w:w="1900"/>
        <w:gridCol w:w="1736"/>
        <w:gridCol w:w="2032"/>
        <w:gridCol w:w="2321"/>
        <w:gridCol w:w="51"/>
      </w:tblGrid>
      <w:tr w:rsidR="001D352B" w:rsidRPr="001D352B" w14:paraId="2862C377" w14:textId="77777777" w:rsidTr="001D352B">
        <w:trPr>
          <w:gridAfter w:val="1"/>
          <w:trHeight w:val="735"/>
          <w:tblCellSpacing w:w="15" w:type="dxa"/>
        </w:trPr>
        <w:tc>
          <w:tcPr>
            <w:tcW w:w="11775" w:type="dxa"/>
            <w:gridSpan w:val="8"/>
            <w:shd w:val="clear" w:color="auto" w:fill="FFFFFF"/>
            <w:vAlign w:val="center"/>
            <w:hideMark/>
          </w:tcPr>
          <w:p w14:paraId="42B80348" w14:textId="77777777" w:rsidR="001D352B" w:rsidRPr="001D352B" w:rsidRDefault="001D352B" w:rsidP="001D352B">
            <w:pPr>
              <w:widowControl/>
              <w:jc w:val="center"/>
              <w:rPr>
                <w:rFonts w:ascii="宋体" w:eastAsia="宋体" w:hAnsi="宋体" w:cs="宋体"/>
                <w:b/>
                <w:bCs/>
                <w:color w:val="000000"/>
                <w:kern w:val="0"/>
                <w:sz w:val="24"/>
                <w:szCs w:val="24"/>
              </w:rPr>
            </w:pPr>
            <w:r w:rsidRPr="001D352B">
              <w:rPr>
                <w:rFonts w:ascii="宋体" w:eastAsia="宋体" w:hAnsi="宋体" w:cs="宋体"/>
                <w:b/>
                <w:bCs/>
                <w:color w:val="000000"/>
                <w:kern w:val="0"/>
                <w:sz w:val="24"/>
                <w:szCs w:val="24"/>
              </w:rPr>
              <w:lastRenderedPageBreak/>
              <w:t>上海市非居民峰谷（未分时）电价表（含基金及附加）</w:t>
            </w:r>
            <w:r w:rsidRPr="001D352B">
              <w:rPr>
                <w:rFonts w:ascii="宋体" w:eastAsia="宋体" w:hAnsi="宋体" w:cs="宋体"/>
                <w:b/>
                <w:bCs/>
                <w:color w:val="000000"/>
                <w:kern w:val="0"/>
                <w:sz w:val="24"/>
                <w:szCs w:val="24"/>
              </w:rPr>
              <w:br/>
              <w:t>执行时间：自2019年5月1日起执行</w:t>
            </w:r>
          </w:p>
        </w:tc>
      </w:tr>
      <w:tr w:rsidR="001D352B" w:rsidRPr="001D352B" w14:paraId="4B0E81A5" w14:textId="77777777" w:rsidTr="001D352B">
        <w:trPr>
          <w:gridAfter w:val="1"/>
          <w:trHeight w:val="360"/>
          <w:tblCellSpacing w:w="15" w:type="dxa"/>
        </w:trPr>
        <w:tc>
          <w:tcPr>
            <w:tcW w:w="0" w:type="auto"/>
            <w:shd w:val="clear" w:color="auto" w:fill="FFFFFF"/>
            <w:vAlign w:val="center"/>
            <w:hideMark/>
          </w:tcPr>
          <w:p w14:paraId="6FF16BB1" w14:textId="77777777" w:rsidR="001D352B" w:rsidRPr="001D352B" w:rsidRDefault="001D352B" w:rsidP="001D352B">
            <w:pPr>
              <w:widowControl/>
              <w:jc w:val="center"/>
              <w:rPr>
                <w:rFonts w:ascii="宋体" w:eastAsia="宋体" w:hAnsi="宋体" w:cs="宋体"/>
                <w:kern w:val="0"/>
                <w:sz w:val="24"/>
                <w:szCs w:val="24"/>
              </w:rPr>
            </w:pPr>
          </w:p>
        </w:tc>
        <w:tc>
          <w:tcPr>
            <w:tcW w:w="10695" w:type="dxa"/>
            <w:gridSpan w:val="7"/>
            <w:shd w:val="clear" w:color="auto" w:fill="FFFFFF"/>
            <w:vAlign w:val="center"/>
            <w:hideMark/>
          </w:tcPr>
          <w:p w14:paraId="1BBD5FBC" w14:textId="77777777" w:rsidR="001D352B" w:rsidRPr="001D352B" w:rsidRDefault="001D352B" w:rsidP="001D352B">
            <w:pPr>
              <w:widowControl/>
              <w:jc w:val="center"/>
              <w:rPr>
                <w:rFonts w:ascii="宋体" w:eastAsia="宋体" w:hAnsi="宋体" w:cs="宋体"/>
                <w:color w:val="000000"/>
                <w:kern w:val="0"/>
                <w:sz w:val="23"/>
                <w:szCs w:val="23"/>
              </w:rPr>
            </w:pPr>
          </w:p>
        </w:tc>
      </w:tr>
      <w:tr w:rsidR="001D352B" w:rsidRPr="001D352B" w14:paraId="575E7BC3" w14:textId="77777777" w:rsidTr="001D352B">
        <w:trPr>
          <w:gridAfter w:val="1"/>
          <w:trHeight w:val="285"/>
          <w:tblCellSpacing w:w="15" w:type="dxa"/>
        </w:trPr>
        <w:tc>
          <w:tcPr>
            <w:tcW w:w="32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06253"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用电分类</w:t>
            </w:r>
          </w:p>
        </w:tc>
        <w:tc>
          <w:tcPr>
            <w:tcW w:w="216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8B349"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电压等级</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2ED03"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电度电价</w:t>
            </w:r>
          </w:p>
        </w:tc>
        <w:tc>
          <w:tcPr>
            <w:tcW w:w="45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B3860"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基本电价</w:t>
            </w:r>
          </w:p>
        </w:tc>
      </w:tr>
      <w:tr w:rsidR="001D352B" w:rsidRPr="001D352B" w14:paraId="09F94AC3" w14:textId="77777777" w:rsidTr="001D352B">
        <w:trPr>
          <w:gridAfter w:val="1"/>
          <w:trHeight w:val="312"/>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ECD37"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3ADF7"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19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5C7A7"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未分时电价</w:t>
            </w:r>
            <w:r w:rsidRPr="001D352B">
              <w:rPr>
                <w:rFonts w:ascii="宋体" w:eastAsia="宋体" w:hAnsi="宋体" w:cs="宋体"/>
                <w:b/>
                <w:bCs/>
                <w:color w:val="000000"/>
                <w:kern w:val="0"/>
                <w:sz w:val="23"/>
                <w:szCs w:val="23"/>
              </w:rPr>
              <w:br/>
              <w:t>（元/千瓦时）</w:t>
            </w:r>
          </w:p>
        </w:tc>
        <w:tc>
          <w:tcPr>
            <w:tcW w:w="22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93339"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变压器容量</w:t>
            </w:r>
            <w:r w:rsidRPr="001D352B">
              <w:rPr>
                <w:rFonts w:ascii="宋体" w:eastAsia="宋体" w:hAnsi="宋体" w:cs="宋体"/>
                <w:b/>
                <w:bCs/>
                <w:color w:val="000000"/>
                <w:kern w:val="0"/>
                <w:sz w:val="23"/>
                <w:szCs w:val="23"/>
              </w:rPr>
              <w:br/>
              <w:t>（元/</w:t>
            </w:r>
            <w:proofErr w:type="gramStart"/>
            <w:r w:rsidRPr="001D352B">
              <w:rPr>
                <w:rFonts w:ascii="宋体" w:eastAsia="宋体" w:hAnsi="宋体" w:cs="宋体"/>
                <w:b/>
                <w:bCs/>
                <w:color w:val="000000"/>
                <w:kern w:val="0"/>
                <w:sz w:val="23"/>
                <w:szCs w:val="23"/>
              </w:rPr>
              <w:t>千瓦/</w:t>
            </w:r>
            <w:proofErr w:type="gramEnd"/>
            <w:r w:rsidRPr="001D352B">
              <w:rPr>
                <w:rFonts w:ascii="宋体" w:eastAsia="宋体" w:hAnsi="宋体" w:cs="宋体"/>
                <w:b/>
                <w:bCs/>
                <w:color w:val="000000"/>
                <w:kern w:val="0"/>
                <w:sz w:val="23"/>
                <w:szCs w:val="23"/>
              </w:rPr>
              <w:t>月）</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EFE95"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最大需量 </w:t>
            </w:r>
            <w:r w:rsidRPr="001D352B">
              <w:rPr>
                <w:rFonts w:ascii="宋体" w:eastAsia="宋体" w:hAnsi="宋体" w:cs="宋体"/>
                <w:b/>
                <w:bCs/>
                <w:color w:val="000000"/>
                <w:kern w:val="0"/>
                <w:sz w:val="23"/>
                <w:szCs w:val="23"/>
              </w:rPr>
              <w:br/>
              <w:t>（元/</w:t>
            </w:r>
            <w:proofErr w:type="gramStart"/>
            <w:r w:rsidRPr="001D352B">
              <w:rPr>
                <w:rFonts w:ascii="宋体" w:eastAsia="宋体" w:hAnsi="宋体" w:cs="宋体"/>
                <w:b/>
                <w:bCs/>
                <w:color w:val="000000"/>
                <w:kern w:val="0"/>
                <w:sz w:val="23"/>
                <w:szCs w:val="23"/>
              </w:rPr>
              <w:t>千瓦/</w:t>
            </w:r>
            <w:proofErr w:type="gramEnd"/>
            <w:r w:rsidRPr="001D352B">
              <w:rPr>
                <w:rFonts w:ascii="宋体" w:eastAsia="宋体" w:hAnsi="宋体" w:cs="宋体"/>
                <w:b/>
                <w:bCs/>
                <w:color w:val="000000"/>
                <w:kern w:val="0"/>
                <w:sz w:val="23"/>
                <w:szCs w:val="23"/>
              </w:rPr>
              <w:t>月）</w:t>
            </w:r>
          </w:p>
        </w:tc>
      </w:tr>
      <w:tr w:rsidR="001D352B" w:rsidRPr="001D352B" w14:paraId="1682B50C" w14:textId="77777777" w:rsidTr="001D352B">
        <w:trPr>
          <w:trHeight w:val="285"/>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5C9E5"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F32BA"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9EFED"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60F39"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2B30F"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shd w:val="clear" w:color="auto" w:fill="FFFFFF"/>
            <w:vAlign w:val="center"/>
            <w:hideMark/>
          </w:tcPr>
          <w:p w14:paraId="44AC0683" w14:textId="77777777" w:rsidR="001D352B" w:rsidRPr="001D352B" w:rsidRDefault="001D352B" w:rsidP="001D352B">
            <w:pPr>
              <w:widowControl/>
              <w:jc w:val="center"/>
              <w:rPr>
                <w:rFonts w:ascii="宋体" w:eastAsia="宋体" w:hAnsi="宋体" w:cs="宋体"/>
                <w:b/>
                <w:bCs/>
                <w:color w:val="000000"/>
                <w:kern w:val="0"/>
                <w:sz w:val="23"/>
                <w:szCs w:val="23"/>
              </w:rPr>
            </w:pPr>
          </w:p>
        </w:tc>
      </w:tr>
      <w:tr w:rsidR="001D352B" w:rsidRPr="001D352B" w14:paraId="4C6EB883" w14:textId="77777777" w:rsidTr="001D352B">
        <w:trPr>
          <w:trHeight w:val="285"/>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83E97"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5E74B"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70A2E"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E49B2"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E1A58"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0" w:type="auto"/>
            <w:shd w:val="clear" w:color="auto" w:fill="FFFFFF"/>
            <w:vAlign w:val="center"/>
            <w:hideMark/>
          </w:tcPr>
          <w:p w14:paraId="3BF54BEE"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79004CF6" w14:textId="77777777" w:rsidTr="001D352B">
        <w:trPr>
          <w:trHeight w:val="285"/>
          <w:tblCellSpacing w:w="15" w:type="dxa"/>
        </w:trPr>
        <w:tc>
          <w:tcPr>
            <w:tcW w:w="32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9454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农业生产用电</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32D1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非夏季</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516E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不满1千伏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C966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0.707</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3ACC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7948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0FF9B0CC"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26EA98FE" w14:textId="77777777" w:rsidTr="001D352B">
        <w:trPr>
          <w:trHeight w:val="285"/>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564D1"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96BAF"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4F68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2B71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0.682</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5E41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C02D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34652288"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1ED7FB24" w14:textId="77777777" w:rsidTr="001D352B">
        <w:trPr>
          <w:trHeight w:val="285"/>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C1D18"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4ECDF"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007F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35千伏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E909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0.657</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D75B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A32F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3D130C9F"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3A837F4C" w14:textId="77777777" w:rsidTr="001D352B">
        <w:trPr>
          <w:trHeight w:val="285"/>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A6393"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AF3E5"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B447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110千伏及以上</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EBD3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D7FA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63A7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6CCE1EE1"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0991A787" w14:textId="77777777" w:rsidTr="001D352B">
        <w:trPr>
          <w:trHeight w:val="285"/>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74D44"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C0E8E"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夏季</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74A2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不满1千伏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4C1F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0.707</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0F32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BCB6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6017BBEF"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62BC0FDE" w14:textId="77777777" w:rsidTr="001D352B">
        <w:trPr>
          <w:trHeight w:val="285"/>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4A881"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13B21"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6016F"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1CBC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0.682</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2777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DED9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1370A023"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047A7941" w14:textId="77777777" w:rsidTr="001D352B">
        <w:trPr>
          <w:trHeight w:val="285"/>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9977B"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52FBC"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5284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35千伏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6CB4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0.657</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0AE4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A5A3E"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5794D9F5"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44F4B67A" w14:textId="77777777" w:rsidTr="001D352B">
        <w:trPr>
          <w:trHeight w:val="285"/>
          <w:tblCellSpacing w:w="15" w:type="dxa"/>
        </w:trPr>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A5FA5"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41D25"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F1D5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110千伏及以上</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540B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F6EB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62C1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63D6DD4D"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0335A70C" w14:textId="77777777" w:rsidTr="001D352B">
        <w:trPr>
          <w:trHeight w:val="285"/>
          <w:tblCellSpacing w:w="15" w:type="dxa"/>
        </w:trPr>
        <w:tc>
          <w:tcPr>
            <w:tcW w:w="216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9488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其中</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1281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农副业动力用电</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B85F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非夏季</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F5AD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不满1千伏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D3C4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0.443</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3E5CE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E5C4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59A7535B"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45403792" w14:textId="77777777" w:rsidTr="001D352B">
        <w:trPr>
          <w:trHeight w:val="285"/>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63ACC"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A69DE"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C5E9D"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6754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D8F7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0.441</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A49E8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21E3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4A2D41C0"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33125176" w14:textId="77777777" w:rsidTr="001D352B">
        <w:trPr>
          <w:trHeight w:val="285"/>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0A731"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AE3C1"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064F8"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6E295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35千伏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44DF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0.438</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EC28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9CD2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2E5FFA4E"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19B7D6AB" w14:textId="77777777" w:rsidTr="001D352B">
        <w:trPr>
          <w:trHeight w:val="285"/>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BEE83"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9FED8"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2637B"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AF5CA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110千伏及以上</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2F70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C428E"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2081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6D1D57A2"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74A256D3" w14:textId="77777777" w:rsidTr="001D352B">
        <w:trPr>
          <w:trHeight w:val="285"/>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3187E"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F605B"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060F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夏季</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3EE3E"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不满1千伏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7A18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0.443</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DA70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E1E8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5E36BA9F"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14FE5D46" w14:textId="77777777" w:rsidTr="001D352B">
        <w:trPr>
          <w:trHeight w:val="285"/>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9E087"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768E5"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FE878"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65FDD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6F39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0.441</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B19A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31D6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58DC42DF"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1E1D7E72" w14:textId="77777777" w:rsidTr="001D352B">
        <w:trPr>
          <w:trHeight w:val="285"/>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D0E5C"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CC7A6"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3F842"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7C45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35千伏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84C2B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0.438</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2F5A7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DB16F"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527CF05A"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7467DA61" w14:textId="77777777" w:rsidTr="001D352B">
        <w:trPr>
          <w:trHeight w:val="285"/>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889568"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8A73F"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50E73"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8479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110千伏及以上</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E4DD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CBB2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4615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25F64954"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7F6C51FD" w14:textId="77777777" w:rsidTr="001D352B">
        <w:trPr>
          <w:trHeight w:val="285"/>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1B2AC"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05F0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排灌动力用电</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9802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非夏季</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558D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不满1千伏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EFF3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0.388</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0934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FDA0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2B5BE4FC"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1BB07ECE" w14:textId="77777777" w:rsidTr="001D352B">
        <w:trPr>
          <w:trHeight w:val="285"/>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24AD2"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D5A7D"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56585"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47FC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5B9D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0.386</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69BA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E6B3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636458D3"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6F185875" w14:textId="77777777" w:rsidTr="001D352B">
        <w:trPr>
          <w:trHeight w:val="285"/>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D6ABE"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4E6ED"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BB4CA"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3870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35千伏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0984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0.383</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D8E4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7975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3AA53613"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70B023BE" w14:textId="77777777" w:rsidTr="001D352B">
        <w:trPr>
          <w:trHeight w:val="285"/>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66D61"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ED2DE"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C6411"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7BCB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110千伏及以上</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F787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D723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404B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0985E508"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74B2D0EE" w14:textId="77777777" w:rsidTr="001D352B">
        <w:trPr>
          <w:trHeight w:val="285"/>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826F0"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A82DB"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AD1D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夏季</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10D7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不满1千伏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F027E"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0.388</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FA1A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A0DB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0E8DE5BA"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1D25A9E5" w14:textId="77777777" w:rsidTr="001D352B">
        <w:trPr>
          <w:trHeight w:val="285"/>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63BCA"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07BA5"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41274"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4B7BE"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49D86E"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0.386</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0B6B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EAAF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18A215A9"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5F730B23" w14:textId="77777777" w:rsidTr="001D352B">
        <w:trPr>
          <w:trHeight w:val="285"/>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38431"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232903"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9306D"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3CBB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35千伏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B311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0.383</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6A0F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8D46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7E495C9E"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5FA7E8B6" w14:textId="77777777" w:rsidTr="001D352B">
        <w:trPr>
          <w:trHeight w:val="285"/>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F33BA"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043A2"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F6841"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F6D9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110千伏及以上</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CFE5F"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7504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FEF3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57A7E924"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1336179F" w14:textId="77777777" w:rsidTr="001D352B">
        <w:trPr>
          <w:trHeight w:val="285"/>
          <w:tblCellSpacing w:w="15" w:type="dxa"/>
        </w:trPr>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777C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工商业及其他用电</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A786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单一制</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9542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一般工商业及其他用电</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2EC62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非夏季</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5439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不满1千伏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E441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0.767</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69FC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BD64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17B844DA"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1373FD93"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34D9A0"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D7EB5"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42A658"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4477A"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6CE1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C253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0.744</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D5E7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CE16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03B009C8"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3C22E8E5"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3A18E"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9A46B"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582EC"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C80B5"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28BF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35千伏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FCE3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0.722</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06948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BFD3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7BAD22F4"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2CCB277D"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D7595"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4872F"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2D671"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961A7"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40AC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110千伏及以上</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E363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0.704</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3494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F0C7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0BED61BC"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0D80C1EE"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6B71D"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B78B3"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24877"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2C41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夏季</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A5FEE"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不满1千伏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F0DA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0.798</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C3BA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94A0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152A2958"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53F6780F"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C7A57"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E1BE5"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0F430"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4A0AB"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481B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FEDF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0.776</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8087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8EBB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61B766FA"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14E1663D"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8BF3A"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CDD81"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A51A4"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AC7C3"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E4CBF"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35千伏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30B1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0.753</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E153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0322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22B1AA5D"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6297F165"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BEB55"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FE610"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9A08C"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0DF32"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F4DD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110千伏及以上</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91DC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0.735</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8F0E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EA6EF"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3D96F092"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1FF173A9"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4A028"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11107"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6DBA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其中：</w:t>
            </w:r>
            <w:r w:rsidRPr="001D352B">
              <w:rPr>
                <w:rFonts w:ascii="宋体" w:eastAsia="宋体" w:hAnsi="宋体" w:cs="宋体"/>
                <w:color w:val="000000"/>
                <w:kern w:val="0"/>
                <w:sz w:val="23"/>
                <w:szCs w:val="23"/>
              </w:rPr>
              <w:br/>
              <w:t>下水道动力用电</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4C87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非夏季</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C602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不满1千伏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215A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0.691</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5A52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E6C5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0EDF19E7"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3450B35A"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ECB7A"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0B9D3"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59776"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07277"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42EF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9F37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0.666</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D4E1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9442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15D8AC25"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7472E89A"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D481C"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4076F"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DD5B6"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C7D4A"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F2F0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35千伏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B699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0.641</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ECE7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2F0A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0E267569"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428D481E"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24345"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B9A7D"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280F4"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9FEC9"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03F4F"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110千伏及以上</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98ED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0.621</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8CEF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8371E"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47773085"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4256598D"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46CA8"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946FE"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54F92"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A70F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夏季</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BFD1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不满1千伏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9E50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0.726</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5014F"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0088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4C03A178"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6A0D04C2"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651B7"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984A4"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25307"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8305F"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49E0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F538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0.701</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330F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B2B6F"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440E0CC7"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78DD4181"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C77D9"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E6C7E"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4DB24"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7C4DB"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7B1B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35千伏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8AC9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0.676</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2F0A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72CE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6AA28BE2"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2D18AF75"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6DAFD"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BEFC0"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19A2C4"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62985"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3B7F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110千伏及以上</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4969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0.656</w:t>
            </w:r>
          </w:p>
        </w:tc>
        <w:tc>
          <w:tcPr>
            <w:tcW w:w="22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1998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BFAA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w:t>
            </w:r>
          </w:p>
        </w:tc>
        <w:tc>
          <w:tcPr>
            <w:tcW w:w="0" w:type="auto"/>
            <w:shd w:val="clear" w:color="auto" w:fill="FFFFFF"/>
            <w:vAlign w:val="center"/>
            <w:hideMark/>
          </w:tcPr>
          <w:p w14:paraId="676BC95C"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438147E8"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FD799"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CED5F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两部制</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3F06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大工业用电</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965D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非夏季</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4060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不满1千伏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8F59F"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0.696</w:t>
            </w:r>
          </w:p>
        </w:tc>
        <w:tc>
          <w:tcPr>
            <w:tcW w:w="22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3808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28</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64B2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42</w:t>
            </w:r>
          </w:p>
        </w:tc>
        <w:tc>
          <w:tcPr>
            <w:tcW w:w="0" w:type="auto"/>
            <w:shd w:val="clear" w:color="auto" w:fill="FFFFFF"/>
            <w:vAlign w:val="center"/>
            <w:hideMark/>
          </w:tcPr>
          <w:p w14:paraId="219DF308"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3FDEE4E8"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06C7E"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EF61C"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4964C"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69A7A"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1355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8A16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0.671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5A35E"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94629"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533553DB"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39D94931"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064C8"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737F4"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A69AE"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4EA1D"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6335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35千伏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8BDA5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0.646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4C1C7"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ADEA4"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50CBE9E8"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3C1D6920"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9A375"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0A45C"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E23A2"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9B8E5"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7082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110千伏及以上</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F92C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0.626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EF6B8"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7BD88B"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662F3552"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71D7403D"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6BE66"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33DB9"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3C6E9"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2B74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夏季</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E087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不满1千伏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F6B53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0.738</w:t>
            </w:r>
          </w:p>
        </w:tc>
        <w:tc>
          <w:tcPr>
            <w:tcW w:w="22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3A50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28</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DC18C"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42</w:t>
            </w:r>
          </w:p>
        </w:tc>
        <w:tc>
          <w:tcPr>
            <w:tcW w:w="0" w:type="auto"/>
            <w:shd w:val="clear" w:color="auto" w:fill="FFFFFF"/>
            <w:vAlign w:val="center"/>
            <w:hideMark/>
          </w:tcPr>
          <w:p w14:paraId="0866FBD1"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447E7D0E"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850A7"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B1778"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5039A6"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07417"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2679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C6EB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0.713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FFCB5"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E7542"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29A54616"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6666849C"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904B5E"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8215B"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4491E"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5F26A"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1C9B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35千伏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4390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0.688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CFA04"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04CF0"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638452BA"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2FA4621C"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A39C1"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655DC"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8D455"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67AA6"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C0DD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110千伏及以上</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CD62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0.668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8FEA69"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094FC"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5F007564"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3F999F5F"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48B69"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520AC"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3450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一般工商业及其他用电</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C99A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非夏季</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0642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不满1千伏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F120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0.620</w:t>
            </w:r>
          </w:p>
        </w:tc>
        <w:tc>
          <w:tcPr>
            <w:tcW w:w="22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237B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25.2</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FECF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37.8</w:t>
            </w:r>
          </w:p>
        </w:tc>
        <w:tc>
          <w:tcPr>
            <w:tcW w:w="0" w:type="auto"/>
            <w:shd w:val="clear" w:color="auto" w:fill="FFFFFF"/>
            <w:vAlign w:val="center"/>
            <w:hideMark/>
          </w:tcPr>
          <w:p w14:paraId="2A920A15"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6CF3F3CA"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3CDE4"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E5727"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25D43"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20DB56"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B3FC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1B288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0.598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DF44C"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1BEC2"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50BFE654"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3B43DF18"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C6CF7"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D1ED0"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3FEA9"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D5EDB"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CB9A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35千伏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AD0B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0.575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6249F"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7B250"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40709D00"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237521FE"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26A3F"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2B426"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5F7A9"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AF0C6"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3C8CD"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110千伏及以上</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B377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0.557</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BA5A6"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EADD8"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356FF775"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5B5FEA9E"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5C29F"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83430"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6FAE4" w14:textId="77777777" w:rsidR="001D352B" w:rsidRPr="001D352B" w:rsidRDefault="001D352B" w:rsidP="001D352B">
            <w:pPr>
              <w:widowControl/>
              <w:jc w:val="center"/>
              <w:rPr>
                <w:rFonts w:ascii="宋体" w:eastAsia="宋体" w:hAnsi="宋体" w:cs="宋体"/>
                <w:color w:val="000000"/>
                <w:kern w:val="0"/>
                <w:sz w:val="23"/>
                <w:szCs w:val="23"/>
              </w:rPr>
            </w:pP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3D49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夏季</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EB36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不满1千伏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5C33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0.652</w:t>
            </w:r>
          </w:p>
        </w:tc>
        <w:tc>
          <w:tcPr>
            <w:tcW w:w="22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E3F4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25.2</w:t>
            </w:r>
          </w:p>
        </w:tc>
        <w:tc>
          <w:tcPr>
            <w:tcW w:w="26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DCEF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37.8</w:t>
            </w:r>
          </w:p>
        </w:tc>
        <w:tc>
          <w:tcPr>
            <w:tcW w:w="0" w:type="auto"/>
            <w:shd w:val="clear" w:color="auto" w:fill="FFFFFF"/>
            <w:vAlign w:val="center"/>
            <w:hideMark/>
          </w:tcPr>
          <w:p w14:paraId="2489F3EF"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0779F8DD"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8A497"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EEBA2"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250DD"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4EBCD"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6F62F"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10千伏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F335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0.629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0F794"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6CF59"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148D3013"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5E616303"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CD87D"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A1D52"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3B638"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25D9C"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DE64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35千伏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587CB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0.607</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4B45F"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87614"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4056D620"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3872F59C" w14:textId="77777777" w:rsidTr="001D352B">
        <w:trPr>
          <w:trHeight w:val="285"/>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05EAD"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D04F7"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443B5"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657A4" w14:textId="77777777" w:rsidR="001D352B" w:rsidRPr="001D352B" w:rsidRDefault="001D352B" w:rsidP="001D352B">
            <w:pPr>
              <w:widowControl/>
              <w:jc w:val="center"/>
              <w:rPr>
                <w:rFonts w:ascii="宋体" w:eastAsia="宋体" w:hAnsi="宋体" w:cs="宋体"/>
                <w:color w:val="000000"/>
                <w:kern w:val="0"/>
                <w:sz w:val="23"/>
                <w:szCs w:val="23"/>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CDCB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110千伏及以上</w:t>
            </w:r>
          </w:p>
        </w:tc>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CEDF1"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0.589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101A1"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8577A"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shd w:val="clear" w:color="auto" w:fill="FFFFFF"/>
            <w:vAlign w:val="center"/>
            <w:hideMark/>
          </w:tcPr>
          <w:p w14:paraId="1DF0C2EE"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r w:rsidR="001D352B" w:rsidRPr="001D352B" w14:paraId="7DFB0394" w14:textId="77777777" w:rsidTr="001D352B">
        <w:trPr>
          <w:trHeight w:val="3360"/>
          <w:tblCellSpacing w:w="15" w:type="dxa"/>
        </w:trPr>
        <w:tc>
          <w:tcPr>
            <w:tcW w:w="11775" w:type="dxa"/>
            <w:gridSpan w:val="8"/>
            <w:shd w:val="clear" w:color="auto" w:fill="FFFFFF"/>
            <w:vAlign w:val="center"/>
            <w:hideMark/>
          </w:tcPr>
          <w:p w14:paraId="2D4530A6" w14:textId="77777777" w:rsidR="001D352B" w:rsidRPr="001D352B" w:rsidRDefault="001D352B" w:rsidP="001D352B">
            <w:pPr>
              <w:widowControl/>
              <w:spacing w:after="240"/>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【注意】</w:t>
            </w:r>
            <w:r w:rsidRPr="001D352B">
              <w:rPr>
                <w:rFonts w:ascii="宋体" w:eastAsia="宋体" w:hAnsi="宋体" w:cs="宋体"/>
                <w:b/>
                <w:bCs/>
                <w:color w:val="000000"/>
                <w:kern w:val="0"/>
                <w:sz w:val="23"/>
                <w:szCs w:val="23"/>
              </w:rPr>
              <w:br/>
              <w:t>以上非居民电价均含政府性基金及附加，具体为：</w:t>
            </w:r>
            <w:r w:rsidRPr="001D352B">
              <w:rPr>
                <w:rFonts w:ascii="宋体" w:eastAsia="宋体" w:hAnsi="宋体" w:cs="宋体"/>
                <w:b/>
                <w:bCs/>
                <w:color w:val="000000"/>
                <w:kern w:val="0"/>
                <w:sz w:val="23"/>
                <w:szCs w:val="23"/>
              </w:rPr>
              <w:br/>
              <w:t>（1）国家重大水利工程建设基金0.783分钱；</w:t>
            </w:r>
            <w:r w:rsidRPr="001D352B">
              <w:rPr>
                <w:rFonts w:ascii="宋体" w:eastAsia="宋体" w:hAnsi="宋体" w:cs="宋体"/>
                <w:b/>
                <w:bCs/>
                <w:color w:val="000000"/>
                <w:kern w:val="0"/>
                <w:sz w:val="23"/>
                <w:szCs w:val="23"/>
              </w:rPr>
              <w:br/>
              <w:t>（2）大中型水库移民后期扶持资金（农业生产用电除外）0.62分钱；</w:t>
            </w:r>
            <w:r w:rsidRPr="001D352B">
              <w:rPr>
                <w:rFonts w:ascii="宋体" w:eastAsia="宋体" w:hAnsi="宋体" w:cs="宋体"/>
                <w:b/>
                <w:bCs/>
                <w:color w:val="000000"/>
                <w:kern w:val="0"/>
                <w:sz w:val="23"/>
                <w:szCs w:val="23"/>
              </w:rPr>
              <w:br/>
              <w:t>（3）可再生能源电价附加：居民用电0.1分钱，其他各类用电（农业生产用电除外）1.9分钱；</w:t>
            </w:r>
            <w:r w:rsidRPr="001D352B">
              <w:rPr>
                <w:rFonts w:ascii="宋体" w:eastAsia="宋体" w:hAnsi="宋体" w:cs="宋体"/>
                <w:b/>
                <w:bCs/>
                <w:color w:val="000000"/>
                <w:kern w:val="0"/>
                <w:sz w:val="23"/>
                <w:szCs w:val="23"/>
              </w:rPr>
              <w:br/>
            </w:r>
            <w:r w:rsidRPr="001D352B">
              <w:rPr>
                <w:rFonts w:ascii="宋体" w:eastAsia="宋体" w:hAnsi="宋体" w:cs="宋体"/>
                <w:b/>
                <w:bCs/>
                <w:color w:val="000000"/>
                <w:kern w:val="0"/>
                <w:sz w:val="23"/>
                <w:szCs w:val="23"/>
              </w:rPr>
              <w:br/>
            </w:r>
            <w:r w:rsidRPr="001D352B">
              <w:rPr>
                <w:rFonts w:ascii="宋体" w:eastAsia="宋体" w:hAnsi="宋体" w:cs="宋体"/>
                <w:b/>
                <w:bCs/>
                <w:color w:val="000000"/>
                <w:kern w:val="0"/>
                <w:sz w:val="23"/>
                <w:szCs w:val="23"/>
              </w:rPr>
              <w:br/>
              <w:t>根据《国家发展改革委关于电网企业增值税税率调整相应降低一般工商业电价的通知》（</w:t>
            </w:r>
            <w:proofErr w:type="gramStart"/>
            <w:r w:rsidRPr="001D352B">
              <w:rPr>
                <w:rFonts w:ascii="宋体" w:eastAsia="宋体" w:hAnsi="宋体" w:cs="宋体"/>
                <w:b/>
                <w:bCs/>
                <w:color w:val="000000"/>
                <w:kern w:val="0"/>
                <w:sz w:val="23"/>
                <w:szCs w:val="23"/>
              </w:rPr>
              <w:t>发改价格</w:t>
            </w:r>
            <w:proofErr w:type="gramEnd"/>
            <w:r w:rsidRPr="001D352B">
              <w:rPr>
                <w:rFonts w:ascii="宋体" w:eastAsia="宋体" w:hAnsi="宋体" w:cs="宋体"/>
                <w:b/>
                <w:bCs/>
                <w:color w:val="000000"/>
                <w:kern w:val="0"/>
                <w:sz w:val="23"/>
                <w:szCs w:val="23"/>
              </w:rPr>
              <w:t>〔2019〕559号）、《关于降低本市一般工商业电价有关事项的通知》（</w:t>
            </w:r>
            <w:proofErr w:type="gramStart"/>
            <w:r w:rsidRPr="001D352B">
              <w:rPr>
                <w:rFonts w:ascii="宋体" w:eastAsia="宋体" w:hAnsi="宋体" w:cs="宋体"/>
                <w:b/>
                <w:bCs/>
                <w:color w:val="000000"/>
                <w:kern w:val="0"/>
                <w:sz w:val="23"/>
                <w:szCs w:val="23"/>
              </w:rPr>
              <w:t>沪发改价</w:t>
            </w:r>
            <w:proofErr w:type="gramEnd"/>
            <w:r w:rsidRPr="001D352B">
              <w:rPr>
                <w:rFonts w:ascii="宋体" w:eastAsia="宋体" w:hAnsi="宋体" w:cs="宋体"/>
                <w:b/>
                <w:bCs/>
                <w:color w:val="000000"/>
                <w:kern w:val="0"/>
                <w:sz w:val="23"/>
                <w:szCs w:val="23"/>
              </w:rPr>
              <w:t>管〔2019〕15号） 要求，经市政府同意并报国家发展改革委备案，决定将电网环节增值税税率由16%降至13%等措施形成的降价资金，</w:t>
            </w:r>
            <w:proofErr w:type="gramStart"/>
            <w:r w:rsidRPr="001D352B">
              <w:rPr>
                <w:rFonts w:ascii="宋体" w:eastAsia="宋体" w:hAnsi="宋体" w:cs="宋体"/>
                <w:b/>
                <w:bCs/>
                <w:color w:val="000000"/>
                <w:kern w:val="0"/>
                <w:sz w:val="23"/>
                <w:szCs w:val="23"/>
              </w:rPr>
              <w:t>国网上海市</w:t>
            </w:r>
            <w:proofErr w:type="gramEnd"/>
            <w:r w:rsidRPr="001D352B">
              <w:rPr>
                <w:rFonts w:ascii="宋体" w:eastAsia="宋体" w:hAnsi="宋体" w:cs="宋体"/>
                <w:b/>
                <w:bCs/>
                <w:color w:val="000000"/>
                <w:kern w:val="0"/>
                <w:sz w:val="23"/>
                <w:szCs w:val="23"/>
              </w:rPr>
              <w:t>电力公司于2019</w:t>
            </w:r>
            <w:r w:rsidRPr="001D352B">
              <w:rPr>
                <w:rFonts w:ascii="宋体" w:eastAsia="宋体" w:hAnsi="宋体" w:cs="宋体"/>
                <w:b/>
                <w:bCs/>
                <w:color w:val="000000"/>
                <w:kern w:val="0"/>
                <w:sz w:val="23"/>
                <w:szCs w:val="23"/>
              </w:rPr>
              <w:lastRenderedPageBreak/>
              <w:t>年5月1日起降低本市一般工商业电价。</w:t>
            </w:r>
            <w:r w:rsidRPr="001D352B">
              <w:rPr>
                <w:rFonts w:ascii="宋体" w:eastAsia="宋体" w:hAnsi="宋体" w:cs="宋体"/>
                <w:b/>
                <w:bCs/>
                <w:color w:val="000000"/>
                <w:kern w:val="0"/>
                <w:sz w:val="23"/>
                <w:szCs w:val="23"/>
              </w:rPr>
              <w:br/>
              <w:t>2019年5月1日上海市销售电价调整标准，具体如下：</w:t>
            </w:r>
            <w:r w:rsidRPr="001D352B">
              <w:rPr>
                <w:rFonts w:ascii="宋体" w:eastAsia="宋体" w:hAnsi="宋体" w:cs="宋体"/>
                <w:b/>
                <w:bCs/>
                <w:color w:val="000000"/>
                <w:kern w:val="0"/>
                <w:sz w:val="23"/>
                <w:szCs w:val="23"/>
              </w:rPr>
              <w:br/>
              <w:t>本市“一般工商业及其他”电价每千瓦时平均降低2.3分钱（含税），下水道动力用电价格保持不变。</w:t>
            </w:r>
            <w:r w:rsidRPr="001D352B">
              <w:rPr>
                <w:rFonts w:ascii="宋体" w:eastAsia="宋体" w:hAnsi="宋体" w:cs="宋体"/>
                <w:b/>
                <w:bCs/>
                <w:color w:val="000000"/>
                <w:kern w:val="0"/>
                <w:sz w:val="23"/>
                <w:szCs w:val="23"/>
              </w:rPr>
              <w:br/>
            </w:r>
          </w:p>
        </w:tc>
        <w:tc>
          <w:tcPr>
            <w:tcW w:w="0" w:type="auto"/>
            <w:shd w:val="clear" w:color="auto" w:fill="FFFFFF"/>
            <w:vAlign w:val="center"/>
            <w:hideMark/>
          </w:tcPr>
          <w:p w14:paraId="52681503" w14:textId="77777777" w:rsidR="001D352B" w:rsidRPr="001D352B" w:rsidRDefault="001D352B" w:rsidP="001D352B">
            <w:pPr>
              <w:widowControl/>
              <w:jc w:val="center"/>
              <w:rPr>
                <w:rFonts w:ascii="Times New Roman" w:eastAsia="Times New Roman" w:hAnsi="Times New Roman" w:cs="Times New Roman"/>
                <w:kern w:val="0"/>
                <w:sz w:val="20"/>
                <w:szCs w:val="20"/>
              </w:rPr>
            </w:pPr>
          </w:p>
        </w:tc>
      </w:tr>
    </w:tbl>
    <w:p w14:paraId="21C54FC3" w14:textId="77777777" w:rsidR="001D352B" w:rsidRPr="001D352B" w:rsidRDefault="001D352B" w:rsidP="001D352B">
      <w:pPr>
        <w:widowControl/>
        <w:spacing w:line="435" w:lineRule="atLeast"/>
        <w:jc w:val="center"/>
        <w:rPr>
          <w:rFonts w:ascii="微软雅黑" w:eastAsia="微软雅黑" w:hAnsi="微软雅黑" w:cs="宋体"/>
          <w:vanish/>
          <w:color w:val="666666"/>
          <w:kern w:val="0"/>
          <w:sz w:val="24"/>
          <w:szCs w:val="24"/>
        </w:rPr>
      </w:pPr>
    </w:p>
    <w:tbl>
      <w:tblPr>
        <w:tblW w:w="12000" w:type="dxa"/>
        <w:tblCellSpacing w:w="15" w:type="dxa"/>
        <w:shd w:val="clear" w:color="auto" w:fill="EEEEEE"/>
        <w:tblCellMar>
          <w:left w:w="0" w:type="dxa"/>
          <w:right w:w="0" w:type="dxa"/>
        </w:tblCellMar>
        <w:tblLook w:val="04A0" w:firstRow="1" w:lastRow="0" w:firstColumn="1" w:lastColumn="0" w:noHBand="0" w:noVBand="1"/>
      </w:tblPr>
      <w:tblGrid>
        <w:gridCol w:w="2598"/>
        <w:gridCol w:w="1959"/>
        <w:gridCol w:w="2152"/>
        <w:gridCol w:w="1898"/>
        <w:gridCol w:w="3393"/>
      </w:tblGrid>
      <w:tr w:rsidR="001D352B" w:rsidRPr="001D352B" w14:paraId="52493BB8" w14:textId="77777777" w:rsidTr="001D352B">
        <w:trPr>
          <w:trHeight w:val="720"/>
          <w:tblCellSpacing w:w="15" w:type="dxa"/>
        </w:trPr>
        <w:tc>
          <w:tcPr>
            <w:tcW w:w="10965"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19D38"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上海市基金及附加表</w:t>
            </w:r>
          </w:p>
        </w:tc>
      </w:tr>
      <w:tr w:rsidR="001D352B" w:rsidRPr="001D352B" w14:paraId="390A9D9D" w14:textId="77777777" w:rsidTr="001D352B">
        <w:trPr>
          <w:trHeight w:val="840"/>
          <w:tblCellSpacing w:w="15" w:type="dxa"/>
        </w:trPr>
        <w:tc>
          <w:tcPr>
            <w:tcW w:w="2565" w:type="dxa"/>
            <w:vMerge w:val="restart"/>
            <w:tcBorders>
              <w:left w:val="single" w:sz="12" w:space="0" w:color="000000"/>
              <w:bottom w:val="single" w:sz="12" w:space="0" w:color="000000"/>
              <w:right w:val="single" w:sz="12" w:space="0" w:color="000000"/>
            </w:tcBorders>
            <w:shd w:val="clear" w:color="auto" w:fill="FFFFFF"/>
            <w:vAlign w:val="center"/>
            <w:hideMark/>
          </w:tcPr>
          <w:p w14:paraId="5E84DB88"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用电类别</w:t>
            </w:r>
          </w:p>
        </w:tc>
        <w:tc>
          <w:tcPr>
            <w:tcW w:w="6000" w:type="dxa"/>
            <w:gridSpan w:val="3"/>
            <w:tcBorders>
              <w:bottom w:val="single" w:sz="12" w:space="0" w:color="000000"/>
              <w:right w:val="single" w:sz="12" w:space="0" w:color="000000"/>
            </w:tcBorders>
            <w:shd w:val="clear" w:color="auto" w:fill="FFFFFF"/>
            <w:vAlign w:val="center"/>
            <w:hideMark/>
          </w:tcPr>
          <w:p w14:paraId="29E6DA82"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代征费分类</w:t>
            </w:r>
            <w:r w:rsidRPr="001D352B">
              <w:rPr>
                <w:rFonts w:ascii="宋体" w:eastAsia="宋体" w:hAnsi="宋体" w:cs="宋体"/>
                <w:b/>
                <w:bCs/>
                <w:color w:val="000000"/>
                <w:kern w:val="0"/>
                <w:sz w:val="23"/>
                <w:szCs w:val="23"/>
              </w:rPr>
              <w:br/>
              <w:t>（分/千瓦时）</w:t>
            </w:r>
          </w:p>
        </w:tc>
        <w:tc>
          <w:tcPr>
            <w:tcW w:w="3360" w:type="dxa"/>
            <w:vMerge w:val="restart"/>
            <w:tcBorders>
              <w:bottom w:val="single" w:sz="12" w:space="0" w:color="000000"/>
              <w:right w:val="single" w:sz="12" w:space="0" w:color="000000"/>
            </w:tcBorders>
            <w:shd w:val="clear" w:color="auto" w:fill="FFFFFF"/>
            <w:vAlign w:val="center"/>
            <w:hideMark/>
          </w:tcPr>
          <w:p w14:paraId="1859687F"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合计</w:t>
            </w:r>
            <w:r w:rsidRPr="001D352B">
              <w:rPr>
                <w:rFonts w:ascii="宋体" w:eastAsia="宋体" w:hAnsi="宋体" w:cs="宋体"/>
                <w:b/>
                <w:bCs/>
                <w:color w:val="000000"/>
                <w:kern w:val="0"/>
                <w:sz w:val="23"/>
                <w:szCs w:val="23"/>
              </w:rPr>
              <w:br/>
              <w:t>（分/千瓦时）</w:t>
            </w:r>
          </w:p>
        </w:tc>
      </w:tr>
      <w:tr w:rsidR="001D352B" w:rsidRPr="001D352B" w14:paraId="1A80A7EB" w14:textId="77777777" w:rsidTr="001D352B">
        <w:trPr>
          <w:trHeight w:val="555"/>
          <w:tblCellSpacing w:w="15" w:type="dxa"/>
        </w:trPr>
        <w:tc>
          <w:tcPr>
            <w:tcW w:w="0" w:type="auto"/>
            <w:vMerge/>
            <w:tcBorders>
              <w:left w:val="single" w:sz="12" w:space="0" w:color="000000"/>
              <w:bottom w:val="single" w:sz="12" w:space="0" w:color="000000"/>
              <w:right w:val="single" w:sz="12" w:space="0" w:color="000000"/>
            </w:tcBorders>
            <w:shd w:val="clear" w:color="auto" w:fill="FFFFFF"/>
            <w:vAlign w:val="center"/>
            <w:hideMark/>
          </w:tcPr>
          <w:p w14:paraId="674D62D4" w14:textId="77777777" w:rsidR="001D352B" w:rsidRPr="001D352B" w:rsidRDefault="001D352B" w:rsidP="001D352B">
            <w:pPr>
              <w:widowControl/>
              <w:jc w:val="center"/>
              <w:rPr>
                <w:rFonts w:ascii="宋体" w:eastAsia="宋体" w:hAnsi="宋体" w:cs="宋体"/>
                <w:b/>
                <w:bCs/>
                <w:color w:val="000000"/>
                <w:kern w:val="0"/>
                <w:sz w:val="23"/>
                <w:szCs w:val="23"/>
              </w:rPr>
            </w:pPr>
          </w:p>
        </w:tc>
        <w:tc>
          <w:tcPr>
            <w:tcW w:w="1935" w:type="dxa"/>
            <w:tcBorders>
              <w:bottom w:val="single" w:sz="12" w:space="0" w:color="000000"/>
              <w:right w:val="single" w:sz="12" w:space="0" w:color="000000"/>
            </w:tcBorders>
            <w:shd w:val="clear" w:color="auto" w:fill="FFFFFF"/>
            <w:vAlign w:val="center"/>
            <w:hideMark/>
          </w:tcPr>
          <w:p w14:paraId="1ED55435"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国家重大水利工程建设基金</w:t>
            </w:r>
          </w:p>
        </w:tc>
        <w:tc>
          <w:tcPr>
            <w:tcW w:w="2130" w:type="dxa"/>
            <w:tcBorders>
              <w:bottom w:val="single" w:sz="12" w:space="0" w:color="000000"/>
              <w:right w:val="single" w:sz="12" w:space="0" w:color="000000"/>
            </w:tcBorders>
            <w:shd w:val="clear" w:color="auto" w:fill="FFFFFF"/>
            <w:vAlign w:val="center"/>
            <w:hideMark/>
          </w:tcPr>
          <w:p w14:paraId="790C2C06"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大中型水库移民后期扶持基金</w:t>
            </w:r>
          </w:p>
        </w:tc>
        <w:tc>
          <w:tcPr>
            <w:tcW w:w="1770" w:type="dxa"/>
            <w:tcBorders>
              <w:bottom w:val="single" w:sz="12" w:space="0" w:color="000000"/>
              <w:right w:val="single" w:sz="12" w:space="0" w:color="000000"/>
            </w:tcBorders>
            <w:shd w:val="clear" w:color="auto" w:fill="FFFFFF"/>
            <w:vAlign w:val="center"/>
            <w:hideMark/>
          </w:tcPr>
          <w:p w14:paraId="6301D9EA"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t>可再生能源电价附加</w:t>
            </w:r>
          </w:p>
        </w:tc>
        <w:tc>
          <w:tcPr>
            <w:tcW w:w="0" w:type="auto"/>
            <w:vMerge/>
            <w:tcBorders>
              <w:bottom w:val="single" w:sz="12" w:space="0" w:color="000000"/>
              <w:right w:val="single" w:sz="12" w:space="0" w:color="000000"/>
            </w:tcBorders>
            <w:shd w:val="clear" w:color="auto" w:fill="FFFFFF"/>
            <w:vAlign w:val="center"/>
            <w:hideMark/>
          </w:tcPr>
          <w:p w14:paraId="5911CA09" w14:textId="77777777" w:rsidR="001D352B" w:rsidRPr="001D352B" w:rsidRDefault="001D352B" w:rsidP="001D352B">
            <w:pPr>
              <w:widowControl/>
              <w:jc w:val="center"/>
              <w:rPr>
                <w:rFonts w:ascii="宋体" w:eastAsia="宋体" w:hAnsi="宋体" w:cs="宋体"/>
                <w:b/>
                <w:bCs/>
                <w:color w:val="000000"/>
                <w:kern w:val="0"/>
                <w:sz w:val="23"/>
                <w:szCs w:val="23"/>
              </w:rPr>
            </w:pPr>
          </w:p>
        </w:tc>
      </w:tr>
      <w:tr w:rsidR="001D352B" w:rsidRPr="001D352B" w14:paraId="1EB328A4" w14:textId="77777777" w:rsidTr="001D352B">
        <w:trPr>
          <w:trHeight w:val="285"/>
          <w:tblCellSpacing w:w="15" w:type="dxa"/>
        </w:trPr>
        <w:tc>
          <w:tcPr>
            <w:tcW w:w="2565" w:type="dxa"/>
            <w:tcBorders>
              <w:left w:val="single" w:sz="12" w:space="0" w:color="000000"/>
              <w:bottom w:val="single" w:sz="12" w:space="0" w:color="000000"/>
              <w:right w:val="single" w:sz="12" w:space="0" w:color="000000"/>
            </w:tcBorders>
            <w:shd w:val="clear" w:color="auto" w:fill="FFFFFF"/>
            <w:hideMark/>
          </w:tcPr>
          <w:p w14:paraId="54B6A462"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居民生活用电</w:t>
            </w:r>
          </w:p>
        </w:tc>
        <w:tc>
          <w:tcPr>
            <w:tcW w:w="1935" w:type="dxa"/>
            <w:tcBorders>
              <w:bottom w:val="single" w:sz="12" w:space="0" w:color="000000"/>
              <w:right w:val="single" w:sz="12" w:space="0" w:color="000000"/>
            </w:tcBorders>
            <w:shd w:val="clear" w:color="auto" w:fill="FFFFFF"/>
            <w:vAlign w:val="center"/>
            <w:hideMark/>
          </w:tcPr>
          <w:p w14:paraId="7DCD1E6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0.783</w:t>
            </w:r>
          </w:p>
        </w:tc>
        <w:tc>
          <w:tcPr>
            <w:tcW w:w="2130" w:type="dxa"/>
            <w:tcBorders>
              <w:bottom w:val="single" w:sz="12" w:space="0" w:color="000000"/>
              <w:right w:val="single" w:sz="12" w:space="0" w:color="000000"/>
            </w:tcBorders>
            <w:shd w:val="clear" w:color="auto" w:fill="FFFFFF"/>
            <w:vAlign w:val="center"/>
            <w:hideMark/>
          </w:tcPr>
          <w:p w14:paraId="4114A80B"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0.62</w:t>
            </w:r>
          </w:p>
        </w:tc>
        <w:tc>
          <w:tcPr>
            <w:tcW w:w="1770" w:type="dxa"/>
            <w:tcBorders>
              <w:bottom w:val="single" w:sz="12" w:space="0" w:color="000000"/>
              <w:right w:val="single" w:sz="12" w:space="0" w:color="000000"/>
            </w:tcBorders>
            <w:shd w:val="clear" w:color="auto" w:fill="FFFFFF"/>
            <w:vAlign w:val="center"/>
            <w:hideMark/>
          </w:tcPr>
          <w:p w14:paraId="507F784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0.1</w:t>
            </w:r>
          </w:p>
        </w:tc>
        <w:tc>
          <w:tcPr>
            <w:tcW w:w="3360" w:type="dxa"/>
            <w:tcBorders>
              <w:bottom w:val="single" w:sz="12" w:space="0" w:color="000000"/>
              <w:right w:val="single" w:sz="12" w:space="0" w:color="000000"/>
            </w:tcBorders>
            <w:shd w:val="clear" w:color="auto" w:fill="FFFFFF"/>
            <w:vAlign w:val="center"/>
            <w:hideMark/>
          </w:tcPr>
          <w:p w14:paraId="4535095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1.503</w:t>
            </w:r>
          </w:p>
        </w:tc>
      </w:tr>
      <w:tr w:rsidR="001D352B" w:rsidRPr="001D352B" w14:paraId="00C70C11" w14:textId="77777777" w:rsidTr="001D352B">
        <w:trPr>
          <w:trHeight w:val="285"/>
          <w:tblCellSpacing w:w="15" w:type="dxa"/>
        </w:trPr>
        <w:tc>
          <w:tcPr>
            <w:tcW w:w="2565" w:type="dxa"/>
            <w:tcBorders>
              <w:left w:val="single" w:sz="12" w:space="0" w:color="000000"/>
              <w:bottom w:val="single" w:sz="12" w:space="0" w:color="000000"/>
              <w:right w:val="single" w:sz="12" w:space="0" w:color="000000"/>
            </w:tcBorders>
            <w:shd w:val="clear" w:color="auto" w:fill="FFFFFF"/>
            <w:hideMark/>
          </w:tcPr>
          <w:p w14:paraId="5A2AE89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大工业用电</w:t>
            </w:r>
          </w:p>
        </w:tc>
        <w:tc>
          <w:tcPr>
            <w:tcW w:w="1935" w:type="dxa"/>
            <w:tcBorders>
              <w:bottom w:val="single" w:sz="12" w:space="0" w:color="000000"/>
              <w:right w:val="single" w:sz="12" w:space="0" w:color="000000"/>
            </w:tcBorders>
            <w:shd w:val="clear" w:color="auto" w:fill="FFFFFF"/>
            <w:vAlign w:val="center"/>
            <w:hideMark/>
          </w:tcPr>
          <w:p w14:paraId="3B2A51A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0.783</w:t>
            </w:r>
          </w:p>
        </w:tc>
        <w:tc>
          <w:tcPr>
            <w:tcW w:w="2130" w:type="dxa"/>
            <w:tcBorders>
              <w:bottom w:val="single" w:sz="12" w:space="0" w:color="000000"/>
              <w:right w:val="single" w:sz="12" w:space="0" w:color="000000"/>
            </w:tcBorders>
            <w:shd w:val="clear" w:color="auto" w:fill="FFFFFF"/>
            <w:vAlign w:val="center"/>
            <w:hideMark/>
          </w:tcPr>
          <w:p w14:paraId="618B819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0.62</w:t>
            </w:r>
          </w:p>
        </w:tc>
        <w:tc>
          <w:tcPr>
            <w:tcW w:w="1770" w:type="dxa"/>
            <w:tcBorders>
              <w:bottom w:val="single" w:sz="12" w:space="0" w:color="000000"/>
              <w:right w:val="single" w:sz="12" w:space="0" w:color="000000"/>
            </w:tcBorders>
            <w:shd w:val="clear" w:color="auto" w:fill="FFFFFF"/>
            <w:vAlign w:val="center"/>
            <w:hideMark/>
          </w:tcPr>
          <w:p w14:paraId="3FF70C04"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1.9</w:t>
            </w:r>
          </w:p>
        </w:tc>
        <w:tc>
          <w:tcPr>
            <w:tcW w:w="3360" w:type="dxa"/>
            <w:tcBorders>
              <w:bottom w:val="single" w:sz="12" w:space="0" w:color="000000"/>
              <w:right w:val="single" w:sz="12" w:space="0" w:color="000000"/>
            </w:tcBorders>
            <w:shd w:val="clear" w:color="auto" w:fill="FFFFFF"/>
            <w:vAlign w:val="center"/>
            <w:hideMark/>
          </w:tcPr>
          <w:p w14:paraId="0394DBF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3.303</w:t>
            </w:r>
          </w:p>
        </w:tc>
      </w:tr>
      <w:tr w:rsidR="001D352B" w:rsidRPr="001D352B" w14:paraId="462B0AFE" w14:textId="77777777" w:rsidTr="001D352B">
        <w:trPr>
          <w:trHeight w:val="285"/>
          <w:tblCellSpacing w:w="15" w:type="dxa"/>
        </w:trPr>
        <w:tc>
          <w:tcPr>
            <w:tcW w:w="2565" w:type="dxa"/>
            <w:tcBorders>
              <w:left w:val="single" w:sz="12" w:space="0" w:color="000000"/>
              <w:bottom w:val="single" w:sz="12" w:space="0" w:color="000000"/>
              <w:right w:val="single" w:sz="12" w:space="0" w:color="000000"/>
            </w:tcBorders>
            <w:shd w:val="clear" w:color="auto" w:fill="FFFFFF"/>
            <w:vAlign w:val="center"/>
            <w:hideMark/>
          </w:tcPr>
          <w:p w14:paraId="6F269548"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一般工商业及其他用电</w:t>
            </w:r>
          </w:p>
        </w:tc>
        <w:tc>
          <w:tcPr>
            <w:tcW w:w="1935" w:type="dxa"/>
            <w:tcBorders>
              <w:bottom w:val="single" w:sz="12" w:space="0" w:color="000000"/>
              <w:right w:val="single" w:sz="12" w:space="0" w:color="000000"/>
            </w:tcBorders>
            <w:shd w:val="clear" w:color="auto" w:fill="FFFFFF"/>
            <w:vAlign w:val="center"/>
            <w:hideMark/>
          </w:tcPr>
          <w:p w14:paraId="3639D256"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0.783</w:t>
            </w:r>
          </w:p>
        </w:tc>
        <w:tc>
          <w:tcPr>
            <w:tcW w:w="2130" w:type="dxa"/>
            <w:tcBorders>
              <w:bottom w:val="single" w:sz="12" w:space="0" w:color="000000"/>
              <w:right w:val="single" w:sz="12" w:space="0" w:color="000000"/>
            </w:tcBorders>
            <w:shd w:val="clear" w:color="auto" w:fill="FFFFFF"/>
            <w:vAlign w:val="center"/>
            <w:hideMark/>
          </w:tcPr>
          <w:p w14:paraId="6346F0E7"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0.62</w:t>
            </w:r>
          </w:p>
        </w:tc>
        <w:tc>
          <w:tcPr>
            <w:tcW w:w="1770" w:type="dxa"/>
            <w:tcBorders>
              <w:bottom w:val="single" w:sz="12" w:space="0" w:color="000000"/>
              <w:right w:val="single" w:sz="12" w:space="0" w:color="000000"/>
            </w:tcBorders>
            <w:shd w:val="clear" w:color="auto" w:fill="FFFFFF"/>
            <w:vAlign w:val="center"/>
            <w:hideMark/>
          </w:tcPr>
          <w:p w14:paraId="3394A895"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1.9</w:t>
            </w:r>
          </w:p>
        </w:tc>
        <w:tc>
          <w:tcPr>
            <w:tcW w:w="3360" w:type="dxa"/>
            <w:tcBorders>
              <w:bottom w:val="single" w:sz="12" w:space="0" w:color="000000"/>
              <w:right w:val="single" w:sz="12" w:space="0" w:color="000000"/>
            </w:tcBorders>
            <w:shd w:val="clear" w:color="auto" w:fill="FFFFFF"/>
            <w:vAlign w:val="center"/>
            <w:hideMark/>
          </w:tcPr>
          <w:p w14:paraId="69142DB9"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3.303</w:t>
            </w:r>
          </w:p>
        </w:tc>
      </w:tr>
      <w:tr w:rsidR="001D352B" w:rsidRPr="001D352B" w14:paraId="2F1C759D" w14:textId="77777777" w:rsidTr="001D352B">
        <w:trPr>
          <w:trHeight w:val="300"/>
          <w:tblCellSpacing w:w="15" w:type="dxa"/>
        </w:trPr>
        <w:tc>
          <w:tcPr>
            <w:tcW w:w="2565" w:type="dxa"/>
            <w:vMerge w:val="restart"/>
            <w:tcBorders>
              <w:left w:val="single" w:sz="12" w:space="0" w:color="000000"/>
              <w:bottom w:val="single" w:sz="12" w:space="0" w:color="000000"/>
              <w:right w:val="single" w:sz="12" w:space="0" w:color="000000"/>
            </w:tcBorders>
            <w:shd w:val="clear" w:color="auto" w:fill="FFFFFF"/>
            <w:vAlign w:val="center"/>
            <w:hideMark/>
          </w:tcPr>
          <w:p w14:paraId="7C51849E"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农业生产用电</w:t>
            </w:r>
          </w:p>
        </w:tc>
        <w:tc>
          <w:tcPr>
            <w:tcW w:w="1935" w:type="dxa"/>
            <w:vMerge w:val="restart"/>
            <w:tcBorders>
              <w:bottom w:val="single" w:sz="12" w:space="0" w:color="000000"/>
              <w:right w:val="single" w:sz="12" w:space="0" w:color="000000"/>
            </w:tcBorders>
            <w:shd w:val="clear" w:color="auto" w:fill="FFFFFF"/>
            <w:vAlign w:val="center"/>
            <w:hideMark/>
          </w:tcPr>
          <w:p w14:paraId="5E59932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0.783</w:t>
            </w:r>
          </w:p>
        </w:tc>
        <w:tc>
          <w:tcPr>
            <w:tcW w:w="2130" w:type="dxa"/>
            <w:vMerge w:val="restart"/>
            <w:tcBorders>
              <w:bottom w:val="single" w:sz="12" w:space="0" w:color="000000"/>
              <w:right w:val="single" w:sz="12" w:space="0" w:color="000000"/>
            </w:tcBorders>
            <w:shd w:val="clear" w:color="auto" w:fill="FFFFFF"/>
            <w:vAlign w:val="center"/>
            <w:hideMark/>
          </w:tcPr>
          <w:p w14:paraId="2D6E9BBA"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免征</w:t>
            </w:r>
          </w:p>
        </w:tc>
        <w:tc>
          <w:tcPr>
            <w:tcW w:w="1770" w:type="dxa"/>
            <w:vMerge w:val="restart"/>
            <w:tcBorders>
              <w:bottom w:val="single" w:sz="12" w:space="0" w:color="000000"/>
              <w:right w:val="single" w:sz="12" w:space="0" w:color="000000"/>
            </w:tcBorders>
            <w:shd w:val="clear" w:color="auto" w:fill="FFFFFF"/>
            <w:vAlign w:val="center"/>
            <w:hideMark/>
          </w:tcPr>
          <w:p w14:paraId="07590BA3"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免征</w:t>
            </w:r>
          </w:p>
        </w:tc>
        <w:tc>
          <w:tcPr>
            <w:tcW w:w="3360" w:type="dxa"/>
            <w:tcBorders>
              <w:right w:val="single" w:sz="12" w:space="0" w:color="000000"/>
            </w:tcBorders>
            <w:shd w:val="clear" w:color="auto" w:fill="FFFFFF"/>
            <w:vAlign w:val="center"/>
            <w:hideMark/>
          </w:tcPr>
          <w:p w14:paraId="7E201040"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0.783</w:t>
            </w:r>
          </w:p>
        </w:tc>
      </w:tr>
      <w:tr w:rsidR="001D352B" w:rsidRPr="001D352B" w14:paraId="6DD5E03E" w14:textId="77777777" w:rsidTr="001D352B">
        <w:trPr>
          <w:trHeight w:val="285"/>
          <w:tblCellSpacing w:w="15" w:type="dxa"/>
        </w:trPr>
        <w:tc>
          <w:tcPr>
            <w:tcW w:w="0" w:type="auto"/>
            <w:vMerge/>
            <w:tcBorders>
              <w:left w:val="single" w:sz="12" w:space="0" w:color="000000"/>
              <w:bottom w:val="single" w:sz="12" w:space="0" w:color="000000"/>
              <w:right w:val="single" w:sz="12" w:space="0" w:color="000000"/>
            </w:tcBorders>
            <w:shd w:val="clear" w:color="auto" w:fill="FFFFFF"/>
            <w:vAlign w:val="center"/>
            <w:hideMark/>
          </w:tcPr>
          <w:p w14:paraId="71D8E65E"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bottom w:val="single" w:sz="12" w:space="0" w:color="000000"/>
              <w:right w:val="single" w:sz="12" w:space="0" w:color="000000"/>
            </w:tcBorders>
            <w:shd w:val="clear" w:color="auto" w:fill="FFFFFF"/>
            <w:vAlign w:val="center"/>
            <w:hideMark/>
          </w:tcPr>
          <w:p w14:paraId="290A984A"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bottom w:val="single" w:sz="12" w:space="0" w:color="000000"/>
              <w:right w:val="single" w:sz="12" w:space="0" w:color="000000"/>
            </w:tcBorders>
            <w:shd w:val="clear" w:color="auto" w:fill="FFFFFF"/>
            <w:vAlign w:val="center"/>
            <w:hideMark/>
          </w:tcPr>
          <w:p w14:paraId="16811757" w14:textId="77777777" w:rsidR="001D352B" w:rsidRPr="001D352B" w:rsidRDefault="001D352B" w:rsidP="001D352B">
            <w:pPr>
              <w:widowControl/>
              <w:jc w:val="center"/>
              <w:rPr>
                <w:rFonts w:ascii="宋体" w:eastAsia="宋体" w:hAnsi="宋体" w:cs="宋体"/>
                <w:color w:val="000000"/>
                <w:kern w:val="0"/>
                <w:sz w:val="23"/>
                <w:szCs w:val="23"/>
              </w:rPr>
            </w:pPr>
          </w:p>
        </w:tc>
        <w:tc>
          <w:tcPr>
            <w:tcW w:w="0" w:type="auto"/>
            <w:vMerge/>
            <w:tcBorders>
              <w:bottom w:val="single" w:sz="12" w:space="0" w:color="000000"/>
              <w:right w:val="single" w:sz="12" w:space="0" w:color="000000"/>
            </w:tcBorders>
            <w:shd w:val="clear" w:color="auto" w:fill="FFFFFF"/>
            <w:vAlign w:val="center"/>
            <w:hideMark/>
          </w:tcPr>
          <w:p w14:paraId="716930E1" w14:textId="77777777" w:rsidR="001D352B" w:rsidRPr="001D352B" w:rsidRDefault="001D352B" w:rsidP="001D352B">
            <w:pPr>
              <w:widowControl/>
              <w:jc w:val="center"/>
              <w:rPr>
                <w:rFonts w:ascii="宋体" w:eastAsia="宋体" w:hAnsi="宋体" w:cs="宋体"/>
                <w:color w:val="000000"/>
                <w:kern w:val="0"/>
                <w:sz w:val="23"/>
                <w:szCs w:val="23"/>
              </w:rPr>
            </w:pPr>
          </w:p>
        </w:tc>
        <w:tc>
          <w:tcPr>
            <w:tcW w:w="3360" w:type="dxa"/>
            <w:tcBorders>
              <w:bottom w:val="single" w:sz="12" w:space="0" w:color="000000"/>
              <w:right w:val="single" w:sz="12" w:space="0" w:color="000000"/>
            </w:tcBorders>
            <w:shd w:val="clear" w:color="auto" w:fill="FFFFFF"/>
            <w:vAlign w:val="center"/>
            <w:hideMark/>
          </w:tcPr>
          <w:p w14:paraId="6B85247E" w14:textId="77777777" w:rsidR="001D352B" w:rsidRPr="001D352B" w:rsidRDefault="001D352B" w:rsidP="001D352B">
            <w:pPr>
              <w:widowControl/>
              <w:jc w:val="center"/>
              <w:rPr>
                <w:rFonts w:ascii="宋体" w:eastAsia="宋体" w:hAnsi="宋体" w:cs="宋体"/>
                <w:color w:val="000000"/>
                <w:kern w:val="0"/>
                <w:sz w:val="23"/>
                <w:szCs w:val="23"/>
              </w:rPr>
            </w:pPr>
            <w:r w:rsidRPr="001D352B">
              <w:rPr>
                <w:rFonts w:ascii="宋体" w:eastAsia="宋体" w:hAnsi="宋体" w:cs="宋体"/>
                <w:color w:val="000000"/>
                <w:kern w:val="0"/>
                <w:sz w:val="23"/>
                <w:szCs w:val="23"/>
              </w:rPr>
              <w:t>（排灌、农副业为0.783）</w:t>
            </w:r>
          </w:p>
        </w:tc>
      </w:tr>
      <w:tr w:rsidR="001D352B" w:rsidRPr="001D352B" w14:paraId="05312BD2" w14:textId="77777777" w:rsidTr="001D352B">
        <w:trPr>
          <w:trHeight w:val="2175"/>
          <w:tblCellSpacing w:w="15" w:type="dxa"/>
        </w:trPr>
        <w:tc>
          <w:tcPr>
            <w:tcW w:w="10965" w:type="dxa"/>
            <w:gridSpan w:val="5"/>
            <w:shd w:val="clear" w:color="auto" w:fill="FFFFFF"/>
            <w:vAlign w:val="center"/>
            <w:hideMark/>
          </w:tcPr>
          <w:p w14:paraId="4108AF12" w14:textId="77777777" w:rsidR="001D352B" w:rsidRPr="001D352B" w:rsidRDefault="001D352B" w:rsidP="001D352B">
            <w:pPr>
              <w:widowControl/>
              <w:jc w:val="center"/>
              <w:rPr>
                <w:rFonts w:ascii="宋体" w:eastAsia="宋体" w:hAnsi="宋体" w:cs="宋体"/>
                <w:b/>
                <w:bCs/>
                <w:color w:val="000000"/>
                <w:kern w:val="0"/>
                <w:sz w:val="23"/>
                <w:szCs w:val="23"/>
              </w:rPr>
            </w:pPr>
            <w:r w:rsidRPr="001D352B">
              <w:rPr>
                <w:rFonts w:ascii="宋体" w:eastAsia="宋体" w:hAnsi="宋体" w:cs="宋体"/>
                <w:b/>
                <w:bCs/>
                <w:color w:val="000000"/>
                <w:kern w:val="0"/>
                <w:sz w:val="23"/>
                <w:szCs w:val="23"/>
              </w:rPr>
              <w:lastRenderedPageBreak/>
              <w:t>文件依据：</w:t>
            </w:r>
            <w:r w:rsidRPr="001D352B">
              <w:rPr>
                <w:rFonts w:ascii="宋体" w:eastAsia="宋体" w:hAnsi="宋体" w:cs="宋体"/>
                <w:b/>
                <w:bCs/>
                <w:color w:val="000000"/>
                <w:kern w:val="0"/>
                <w:sz w:val="23"/>
                <w:szCs w:val="23"/>
              </w:rPr>
              <w:br/>
              <w:t>1.国家重大水利工程建设基金：确保国家重大水利工程建设，筹集国家重大水利工程建设资金。</w:t>
            </w:r>
            <w:proofErr w:type="gramStart"/>
            <w:r w:rsidRPr="001D352B">
              <w:rPr>
                <w:rFonts w:ascii="宋体" w:eastAsia="宋体" w:hAnsi="宋体" w:cs="宋体"/>
                <w:b/>
                <w:bCs/>
                <w:color w:val="000000"/>
                <w:kern w:val="0"/>
                <w:sz w:val="23"/>
                <w:szCs w:val="23"/>
              </w:rPr>
              <w:t>沪价管</w:t>
            </w:r>
            <w:proofErr w:type="gramEnd"/>
            <w:r w:rsidRPr="001D352B">
              <w:rPr>
                <w:rFonts w:ascii="宋体" w:eastAsia="宋体" w:hAnsi="宋体" w:cs="宋体"/>
                <w:b/>
                <w:bCs/>
                <w:color w:val="000000"/>
                <w:kern w:val="0"/>
                <w:sz w:val="23"/>
                <w:szCs w:val="23"/>
              </w:rPr>
              <w:t>〔2018〕35号；</w:t>
            </w:r>
            <w:r w:rsidRPr="001D352B">
              <w:rPr>
                <w:rFonts w:ascii="宋体" w:eastAsia="宋体" w:hAnsi="宋体" w:cs="宋体"/>
                <w:b/>
                <w:bCs/>
                <w:color w:val="000000"/>
                <w:kern w:val="0"/>
                <w:sz w:val="23"/>
                <w:szCs w:val="23"/>
              </w:rPr>
              <w:br/>
              <w:t>2.大中型水库移民后期扶持基金：解决中央直属水库移民遗留问题。</w:t>
            </w:r>
            <w:proofErr w:type="gramStart"/>
            <w:r w:rsidRPr="001D352B">
              <w:rPr>
                <w:rFonts w:ascii="宋体" w:eastAsia="宋体" w:hAnsi="宋体" w:cs="宋体"/>
                <w:b/>
                <w:bCs/>
                <w:color w:val="000000"/>
                <w:kern w:val="0"/>
                <w:sz w:val="23"/>
                <w:szCs w:val="23"/>
              </w:rPr>
              <w:t>沪价管</w:t>
            </w:r>
            <w:proofErr w:type="gramEnd"/>
            <w:r w:rsidRPr="001D352B">
              <w:rPr>
                <w:rFonts w:ascii="宋体" w:eastAsia="宋体" w:hAnsi="宋体" w:cs="宋体"/>
                <w:b/>
                <w:bCs/>
                <w:color w:val="000000"/>
                <w:kern w:val="0"/>
                <w:sz w:val="23"/>
                <w:szCs w:val="23"/>
              </w:rPr>
              <w:t>〔2017〕17号；</w:t>
            </w:r>
            <w:r w:rsidRPr="001D352B">
              <w:rPr>
                <w:rFonts w:ascii="宋体" w:eastAsia="宋体" w:hAnsi="宋体" w:cs="宋体"/>
                <w:b/>
                <w:bCs/>
                <w:color w:val="000000"/>
                <w:kern w:val="0"/>
                <w:sz w:val="23"/>
                <w:szCs w:val="23"/>
              </w:rPr>
              <w:br/>
              <w:t>3.可再生能源电价附加：推动可再生能源建设。</w:t>
            </w:r>
            <w:proofErr w:type="gramStart"/>
            <w:r w:rsidRPr="001D352B">
              <w:rPr>
                <w:rFonts w:ascii="宋体" w:eastAsia="宋体" w:hAnsi="宋体" w:cs="宋体"/>
                <w:b/>
                <w:bCs/>
                <w:color w:val="000000"/>
                <w:kern w:val="0"/>
                <w:sz w:val="23"/>
                <w:szCs w:val="23"/>
              </w:rPr>
              <w:t>发改价格</w:t>
            </w:r>
            <w:proofErr w:type="gramEnd"/>
            <w:r w:rsidRPr="001D352B">
              <w:rPr>
                <w:rFonts w:ascii="宋体" w:eastAsia="宋体" w:hAnsi="宋体" w:cs="宋体"/>
                <w:b/>
                <w:bCs/>
                <w:color w:val="000000"/>
                <w:kern w:val="0"/>
                <w:sz w:val="23"/>
                <w:szCs w:val="23"/>
              </w:rPr>
              <w:t>[2006]7号《可再生能源发电价格和费用分摊管理试行办法》</w:t>
            </w:r>
            <w:proofErr w:type="gramStart"/>
            <w:r w:rsidRPr="001D352B">
              <w:rPr>
                <w:rFonts w:ascii="宋体" w:eastAsia="宋体" w:hAnsi="宋体" w:cs="宋体"/>
                <w:b/>
                <w:bCs/>
                <w:color w:val="000000"/>
                <w:kern w:val="0"/>
                <w:sz w:val="23"/>
                <w:szCs w:val="23"/>
              </w:rPr>
              <w:t>和沪价管</w:t>
            </w:r>
            <w:proofErr w:type="gramEnd"/>
            <w:r w:rsidRPr="001D352B">
              <w:rPr>
                <w:rFonts w:ascii="宋体" w:eastAsia="宋体" w:hAnsi="宋体" w:cs="宋体"/>
                <w:b/>
                <w:bCs/>
                <w:color w:val="000000"/>
                <w:kern w:val="0"/>
                <w:sz w:val="23"/>
                <w:szCs w:val="23"/>
              </w:rPr>
              <w:t>[2016]1号文件《上海市物价局关于实施煤电价格联动调整的通知》。</w:t>
            </w:r>
          </w:p>
        </w:tc>
      </w:tr>
    </w:tbl>
    <w:p w14:paraId="340AB359" w14:textId="77777777" w:rsidR="00D42F02" w:rsidRPr="001D352B" w:rsidRDefault="00D42F02" w:rsidP="001D352B">
      <w:pPr>
        <w:jc w:val="center"/>
      </w:pPr>
    </w:p>
    <w:sectPr w:rsidR="00D42F02" w:rsidRPr="001D352B" w:rsidSect="001D352B">
      <w:pgSz w:w="16838" w:h="11906" w:orient="landscape"/>
      <w:pgMar w:top="1440" w:right="1440"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2B"/>
    <w:rsid w:val="001D352B"/>
    <w:rsid w:val="00D42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34E6"/>
  <w15:chartTrackingRefBased/>
  <w15:docId w15:val="{3C6973D2-5243-4A28-88E5-9ECFDA2F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D352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D352B"/>
    <w:rPr>
      <w:rFonts w:ascii="宋体" w:eastAsia="宋体" w:hAnsi="宋体" w:cs="宋体"/>
      <w:b/>
      <w:bCs/>
      <w:kern w:val="36"/>
      <w:sz w:val="48"/>
      <w:szCs w:val="48"/>
    </w:rPr>
  </w:style>
  <w:style w:type="paragraph" w:customStyle="1" w:styleId="msonormal0">
    <w:name w:val="msonormal"/>
    <w:basedOn w:val="a"/>
    <w:rsid w:val="001D352B"/>
    <w:pPr>
      <w:widowControl/>
      <w:spacing w:before="100" w:beforeAutospacing="1" w:after="100" w:afterAutospacing="1"/>
      <w:jc w:val="left"/>
    </w:pPr>
    <w:rPr>
      <w:rFonts w:ascii="宋体" w:eastAsia="宋体" w:hAnsi="宋体" w:cs="宋体"/>
      <w:kern w:val="0"/>
      <w:sz w:val="24"/>
      <w:szCs w:val="24"/>
    </w:rPr>
  </w:style>
  <w:style w:type="character" w:customStyle="1" w:styleId="newstype">
    <w:name w:val="news_type"/>
    <w:basedOn w:val="a0"/>
    <w:rsid w:val="001D3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7235">
      <w:bodyDiv w:val="1"/>
      <w:marLeft w:val="0"/>
      <w:marRight w:val="0"/>
      <w:marTop w:val="0"/>
      <w:marBottom w:val="0"/>
      <w:divBdr>
        <w:top w:val="none" w:sz="0" w:space="0" w:color="auto"/>
        <w:left w:val="none" w:sz="0" w:space="0" w:color="auto"/>
        <w:bottom w:val="none" w:sz="0" w:space="0" w:color="auto"/>
        <w:right w:val="none" w:sz="0" w:space="0" w:color="auto"/>
      </w:divBdr>
      <w:divsChild>
        <w:div w:id="991371146">
          <w:marLeft w:val="0"/>
          <w:marRight w:val="0"/>
          <w:marTop w:val="0"/>
          <w:marBottom w:val="0"/>
          <w:divBdr>
            <w:top w:val="none" w:sz="0" w:space="0" w:color="auto"/>
            <w:left w:val="none" w:sz="0" w:space="0" w:color="auto"/>
            <w:bottom w:val="none" w:sz="0" w:space="0" w:color="auto"/>
            <w:right w:val="none" w:sz="0" w:space="0" w:color="auto"/>
          </w:divBdr>
        </w:div>
        <w:div w:id="236981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 梦</dc:creator>
  <cp:keywords/>
  <dc:description/>
  <cp:lastModifiedBy>袁 梦</cp:lastModifiedBy>
  <cp:revision>1</cp:revision>
  <dcterms:created xsi:type="dcterms:W3CDTF">2022-11-28T08:21:00Z</dcterms:created>
  <dcterms:modified xsi:type="dcterms:W3CDTF">2022-11-28T08:23:00Z</dcterms:modified>
</cp:coreProperties>
</file>